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8D2DF" w14:textId="77777777" w:rsidR="00B813B1" w:rsidRDefault="00B813B1" w:rsidP="00B813B1">
      <w:r>
        <w:rPr>
          <w:noProof/>
          <w:lang w:eastAsia="fr-FR"/>
        </w:rPr>
        <mc:AlternateContent>
          <mc:Choice Requires="wps">
            <w:drawing>
              <wp:anchor distT="0" distB="0" distL="114300" distR="114300" simplePos="0" relativeHeight="251660288" behindDoc="0" locked="0" layoutInCell="1" allowOverlap="1" wp14:anchorId="414F91C4" wp14:editId="2497F1CF">
                <wp:simplePos x="0" y="0"/>
                <wp:positionH relativeFrom="column">
                  <wp:posOffset>-423545</wp:posOffset>
                </wp:positionH>
                <wp:positionV relativeFrom="paragraph">
                  <wp:posOffset>10795</wp:posOffset>
                </wp:positionV>
                <wp:extent cx="6172200" cy="8486775"/>
                <wp:effectExtent l="0" t="0" r="19050" b="28575"/>
                <wp:wrapNone/>
                <wp:docPr id="4" name="Forme libre : for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8486775"/>
                        </a:xfrm>
                        <a:custGeom>
                          <a:avLst>
                            <a:gd name="f10" fmla="val 2160"/>
                          </a:avLst>
                          <a:gdLst>
                            <a:gd name="f1" fmla="val 10800000"/>
                            <a:gd name="f2" fmla="val 5400000"/>
                            <a:gd name="f3" fmla="val 16200000"/>
                            <a:gd name="f4" fmla="val w"/>
                            <a:gd name="f5" fmla="val h"/>
                            <a:gd name="f6" fmla="val ss"/>
                            <a:gd name="f7" fmla="val 0"/>
                            <a:gd name="f8" fmla="*/ 5419351 1 1725033"/>
                            <a:gd name="f9" fmla="val 45"/>
                            <a:gd name="f10" fmla="val 216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92D050"/>
                          </a:solidFill>
                          <a:prstDash val="solid"/>
                          <a:miter/>
                        </a:ln>
                      </wps:spPr>
                      <wps:txbx>
                        <w:txbxContent>
                          <w:p w14:paraId="7E6D3AAB" w14:textId="77777777" w:rsidR="005A3F37" w:rsidRDefault="005A3F37" w:rsidP="00B813B1">
                            <w:pPr>
                              <w:autoSpaceDE w:val="0"/>
                              <w:spacing w:after="0" w:line="240" w:lineRule="auto"/>
                              <w:jc w:val="center"/>
                            </w:pPr>
                            <w:r>
                              <w:rPr>
                                <w:lang w:eastAsia="fr-FR"/>
                              </w:rPr>
                              <w:t xml:space="preserve">                                                      </w:t>
                            </w:r>
                          </w:p>
                          <w:p w14:paraId="3F70B339" w14:textId="77777777" w:rsidR="005A3F37" w:rsidRDefault="005A3F37" w:rsidP="00B813B1">
                            <w:pPr>
                              <w:autoSpaceDE w:val="0"/>
                              <w:spacing w:after="0" w:line="240" w:lineRule="auto"/>
                              <w:jc w:val="center"/>
                              <w:rPr>
                                <w:rFonts w:ascii="Arial" w:hAnsi="Arial" w:cs="Arial"/>
                                <w:b/>
                                <w:sz w:val="24"/>
                                <w:szCs w:val="24"/>
                              </w:rPr>
                            </w:pPr>
                            <w:r>
                              <w:rPr>
                                <w:rFonts w:ascii="Arial" w:hAnsi="Arial" w:cs="Arial"/>
                                <w:b/>
                                <w:sz w:val="24"/>
                                <w:szCs w:val="24"/>
                              </w:rPr>
                              <w:t xml:space="preserve">   </w:t>
                            </w:r>
                          </w:p>
                          <w:p w14:paraId="61986A58" w14:textId="77777777" w:rsidR="005A3F37" w:rsidRDefault="005A3F37" w:rsidP="00B813B1">
                            <w:pPr>
                              <w:autoSpaceDE w:val="0"/>
                              <w:spacing w:after="0" w:line="240" w:lineRule="auto"/>
                              <w:rPr>
                                <w:rFonts w:ascii="Arial" w:hAnsi="Arial" w:cs="Arial"/>
                                <w:b/>
                                <w:sz w:val="24"/>
                                <w:szCs w:val="24"/>
                              </w:rPr>
                            </w:pPr>
                          </w:p>
                          <w:p w14:paraId="2F34AD9A" w14:textId="77777777" w:rsidR="005A3F37" w:rsidRDefault="005A3F37" w:rsidP="00B813B1">
                            <w:pPr>
                              <w:autoSpaceDE w:val="0"/>
                              <w:spacing w:after="0" w:line="240" w:lineRule="auto"/>
                              <w:jc w:val="center"/>
                              <w:rPr>
                                <w:rFonts w:ascii="Arial" w:hAnsi="Arial" w:cs="Arial"/>
                                <w:b/>
                                <w:sz w:val="24"/>
                                <w:szCs w:val="24"/>
                              </w:rPr>
                            </w:pPr>
                          </w:p>
                          <w:p w14:paraId="12F4BB8C" w14:textId="77777777" w:rsidR="005A3F37" w:rsidRDefault="005A3F37" w:rsidP="00B813B1">
                            <w:pPr>
                              <w:pStyle w:val="Corpsdetexte"/>
                              <w:widowControl w:val="0"/>
                            </w:pPr>
                            <w:r w:rsidRPr="00F1621E">
                              <w:rPr>
                                <w:noProof/>
                              </w:rPr>
                              <w:drawing>
                                <wp:inline distT="0" distB="0" distL="0" distR="0" wp14:anchorId="6F3F6D43" wp14:editId="6F4FA3D7">
                                  <wp:extent cx="2019935" cy="9277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935" cy="927735"/>
                                          </a:xfrm>
                                          <a:prstGeom prst="rect">
                                            <a:avLst/>
                                          </a:prstGeom>
                                          <a:noFill/>
                                          <a:ln>
                                            <a:noFill/>
                                          </a:ln>
                                        </pic:spPr>
                                      </pic:pic>
                                    </a:graphicData>
                                  </a:graphic>
                                </wp:inline>
                              </w:drawing>
                            </w:r>
                          </w:p>
                          <w:p w14:paraId="51CBB217" w14:textId="77777777" w:rsidR="005A3F37" w:rsidRDefault="005A3F37" w:rsidP="00B813B1">
                            <w:pPr>
                              <w:pStyle w:val="Corpsdetexte"/>
                              <w:widowControl w:val="0"/>
                              <w:jc w:val="left"/>
                              <w:rPr>
                                <w:rFonts w:ascii="Garamond" w:hAnsi="Garamond" w:cs="Tahoma"/>
                                <w:b/>
                                <w:bCs/>
                                <w:sz w:val="52"/>
                                <w:szCs w:val="60"/>
                              </w:rPr>
                            </w:pPr>
                          </w:p>
                          <w:p w14:paraId="0E7BFA18" w14:textId="77777777" w:rsidR="005A3F37" w:rsidRDefault="005A3F37" w:rsidP="00B813B1">
                            <w:pPr>
                              <w:autoSpaceDE w:val="0"/>
                              <w:spacing w:after="0" w:line="240" w:lineRule="auto"/>
                              <w:jc w:val="center"/>
                              <w:rPr>
                                <w:rFonts w:ascii="Arial Rounded MT Bold" w:hAnsi="Arial Rounded MT Bold"/>
                                <w:b/>
                                <w:sz w:val="28"/>
                                <w:szCs w:val="28"/>
                              </w:rPr>
                            </w:pPr>
                          </w:p>
                          <w:p w14:paraId="4536271C" w14:textId="77777777" w:rsidR="005A3F37" w:rsidRDefault="005A3F37" w:rsidP="00B813B1">
                            <w:pPr>
                              <w:autoSpaceDE w:val="0"/>
                              <w:spacing w:after="0" w:line="240" w:lineRule="auto"/>
                              <w:jc w:val="center"/>
                              <w:rPr>
                                <w:rFonts w:ascii="Arial Rounded MT Bold" w:hAnsi="Arial Rounded MT Bold"/>
                                <w:b/>
                                <w:bCs/>
                                <w:sz w:val="28"/>
                                <w:szCs w:val="28"/>
                              </w:rPr>
                            </w:pPr>
                          </w:p>
                          <w:p w14:paraId="49874672" w14:textId="77777777" w:rsidR="005A3F37" w:rsidRDefault="005A3F37" w:rsidP="00B813B1">
                            <w:pPr>
                              <w:jc w:val="center"/>
                              <w:rPr>
                                <w:rFonts w:ascii="Calibri Light" w:hAnsi="Calibri Light"/>
                                <w:b/>
                                <w:color w:val="0070C0"/>
                                <w:sz w:val="32"/>
                                <w:szCs w:val="40"/>
                              </w:rPr>
                            </w:pPr>
                          </w:p>
                          <w:p w14:paraId="65A6651E" w14:textId="77777777" w:rsidR="005A3F37" w:rsidRDefault="005A3F37" w:rsidP="00B813B1">
                            <w:pPr>
                              <w:jc w:val="center"/>
                              <w:rPr>
                                <w:rFonts w:ascii="Arial" w:hAnsi="Arial" w:cs="Arial"/>
                                <w:b/>
                                <w:color w:val="0070C0"/>
                                <w:sz w:val="32"/>
                                <w:szCs w:val="40"/>
                              </w:rPr>
                            </w:pPr>
                          </w:p>
                          <w:p w14:paraId="3B822AB5" w14:textId="77777777" w:rsidR="005A3F37" w:rsidRDefault="005A3F37" w:rsidP="00B813B1">
                            <w:pPr>
                              <w:jc w:val="center"/>
                              <w:rPr>
                                <w:rFonts w:ascii="Arial" w:hAnsi="Arial" w:cs="Arial"/>
                                <w:b/>
                                <w:color w:val="0070C0"/>
                                <w:sz w:val="32"/>
                                <w:szCs w:val="40"/>
                              </w:rPr>
                            </w:pPr>
                          </w:p>
                          <w:p w14:paraId="0BAD306F" w14:textId="77777777" w:rsidR="005A3F37" w:rsidRDefault="005A3F37" w:rsidP="00B813B1">
                            <w:pPr>
                              <w:autoSpaceDE w:val="0"/>
                              <w:spacing w:after="0" w:line="240" w:lineRule="auto"/>
                              <w:jc w:val="center"/>
                              <w:rPr>
                                <w:rFonts w:ascii="Arial Rounded MT Bold" w:hAnsi="Arial Rounded MT Bold"/>
                                <w:b/>
                                <w:bCs/>
                                <w:sz w:val="28"/>
                                <w:szCs w:val="28"/>
                              </w:rPr>
                            </w:pPr>
                          </w:p>
                          <w:p w14:paraId="0E27BB2A" w14:textId="77777777" w:rsidR="005A3F37" w:rsidRDefault="005A3F37" w:rsidP="00B813B1">
                            <w:pPr>
                              <w:autoSpaceDE w:val="0"/>
                              <w:spacing w:after="0" w:line="240" w:lineRule="auto"/>
                              <w:jc w:val="center"/>
                              <w:rPr>
                                <w:rFonts w:ascii="Arial Rounded MT Bold" w:hAnsi="Arial Rounded MT Bold"/>
                                <w:b/>
                                <w:bCs/>
                                <w:sz w:val="28"/>
                                <w:szCs w:val="28"/>
                              </w:rPr>
                            </w:pPr>
                          </w:p>
                          <w:p w14:paraId="2543ED83" w14:textId="77777777" w:rsidR="005A3F37" w:rsidRDefault="005A3F37" w:rsidP="00B813B1">
                            <w:pPr>
                              <w:autoSpaceDE w:val="0"/>
                              <w:spacing w:after="0" w:line="240" w:lineRule="auto"/>
                              <w:rPr>
                                <w:rFonts w:ascii="Arial Rounded MT Bold" w:hAnsi="Arial Rounded MT Bold" w:cs="Garamond,Bold"/>
                                <w:b/>
                                <w:bCs/>
                                <w:sz w:val="28"/>
                                <w:szCs w:val="28"/>
                              </w:rPr>
                            </w:pPr>
                          </w:p>
                          <w:p w14:paraId="39FB775B" w14:textId="77777777" w:rsidR="005A3F37" w:rsidRDefault="005A3F37" w:rsidP="00B813B1">
                            <w:pPr>
                              <w:autoSpaceDE w:val="0"/>
                              <w:spacing w:after="0" w:line="240" w:lineRule="auto"/>
                              <w:jc w:val="center"/>
                              <w:rPr>
                                <w:rFonts w:ascii="Arial Rounded MT Bold" w:hAnsi="Arial Rounded MT Bold" w:cs="Garamond,Bold"/>
                                <w:b/>
                                <w:bCs/>
                                <w:sz w:val="28"/>
                                <w:szCs w:val="28"/>
                              </w:rPr>
                            </w:pPr>
                          </w:p>
                          <w:p w14:paraId="7F1EC3CF" w14:textId="77777777" w:rsidR="005A3F37" w:rsidRDefault="005A3F37" w:rsidP="00B813B1">
                            <w:pPr>
                              <w:autoSpaceDE w:val="0"/>
                              <w:spacing w:after="0" w:line="240" w:lineRule="auto"/>
                              <w:jc w:val="center"/>
                              <w:rPr>
                                <w:rFonts w:ascii="Arial Rounded MT Bold" w:hAnsi="Arial Rounded MT Bold" w:cs="Garamond,Bold"/>
                                <w:b/>
                                <w:bCs/>
                                <w:color w:val="000080"/>
                                <w:sz w:val="36"/>
                                <w:szCs w:val="24"/>
                              </w:rPr>
                            </w:pPr>
                          </w:p>
                          <w:p w14:paraId="5A4ACFAA" w14:textId="77777777" w:rsidR="005A3F37" w:rsidRDefault="005A3F37" w:rsidP="00B813B1">
                            <w:pPr>
                              <w:autoSpaceDE w:val="0"/>
                              <w:spacing w:after="0" w:line="240" w:lineRule="auto"/>
                              <w:jc w:val="right"/>
                              <w:rPr>
                                <w:rFonts w:ascii="Arial Rounded MT Bold" w:hAnsi="Arial Rounded MT Bold" w:cs="Arial"/>
                                <w:b/>
                                <w:bCs/>
                                <w:color w:val="000080"/>
                                <w:sz w:val="40"/>
                                <w:szCs w:val="24"/>
                              </w:rPr>
                            </w:pPr>
                          </w:p>
                          <w:p w14:paraId="030D8327" w14:textId="77777777" w:rsidR="005A3F37" w:rsidRDefault="005A3F37" w:rsidP="00B813B1">
                            <w:pPr>
                              <w:jc w:val="right"/>
                              <w:rPr>
                                <w:lang w:val="en-US"/>
                              </w:rPr>
                            </w:pPr>
                          </w:p>
                          <w:p w14:paraId="386D3334" w14:textId="77777777" w:rsidR="005A3F37" w:rsidRDefault="005A3F37" w:rsidP="00B813B1">
                            <w:pPr>
                              <w:jc w:val="right"/>
                              <w:rPr>
                                <w:lang w:val="en-US"/>
                              </w:rPr>
                            </w:pPr>
                          </w:p>
                          <w:p w14:paraId="50522909" w14:textId="77777777" w:rsidR="005A3F37" w:rsidRDefault="005A3F37" w:rsidP="00B813B1">
                            <w:pPr>
                              <w:jc w:val="right"/>
                              <w:rPr>
                                <w:lang w:val="en-US"/>
                              </w:rPr>
                            </w:pPr>
                          </w:p>
                          <w:p w14:paraId="7AFD1243" w14:textId="77777777" w:rsidR="005A3F37" w:rsidRPr="00F7362D" w:rsidRDefault="005A3F37" w:rsidP="00B813B1">
                            <w:pPr>
                              <w:spacing w:after="0"/>
                              <w:jc w:val="right"/>
                              <w:rPr>
                                <w:b/>
                                <w:sz w:val="32"/>
                              </w:rPr>
                            </w:pPr>
                            <w:r w:rsidRPr="00F7362D">
                              <w:rPr>
                                <w:b/>
                                <w:sz w:val="32"/>
                              </w:rPr>
                              <w:t>Action Contre la Faim</w:t>
                            </w:r>
                          </w:p>
                          <w:p w14:paraId="59B285EE" w14:textId="77777777" w:rsidR="005A3F37" w:rsidRPr="00F7362D" w:rsidRDefault="005A3F37" w:rsidP="00B813B1">
                            <w:pPr>
                              <w:spacing w:after="0"/>
                              <w:jc w:val="right"/>
                              <w:rPr>
                                <w:b/>
                                <w:sz w:val="32"/>
                              </w:rPr>
                            </w:pPr>
                            <w:r w:rsidRPr="00F7362D">
                              <w:rPr>
                                <w:b/>
                                <w:sz w:val="32"/>
                              </w:rPr>
                              <w:t>Bureau d’Afrique de l’Ouest et du C</w:t>
                            </w:r>
                            <w:r>
                              <w:rPr>
                                <w:b/>
                                <w:sz w:val="32"/>
                              </w:rPr>
                              <w:t xml:space="preserve">entre </w:t>
                            </w:r>
                          </w:p>
                          <w:p w14:paraId="30C8E363" w14:textId="10B175AC" w:rsidR="005A3F37" w:rsidRPr="00F7362D" w:rsidRDefault="00341218" w:rsidP="00B813B1">
                            <w:pPr>
                              <w:spacing w:after="0"/>
                              <w:jc w:val="right"/>
                              <w:rPr>
                                <w:b/>
                                <w:sz w:val="32"/>
                              </w:rPr>
                            </w:pPr>
                            <w:r>
                              <w:rPr>
                                <w:b/>
                                <w:sz w:val="32"/>
                              </w:rPr>
                              <w:t xml:space="preserve">Janvier </w:t>
                            </w:r>
                            <w:r w:rsidR="005A3F37">
                              <w:rPr>
                                <w:b/>
                                <w:sz w:val="32"/>
                              </w:rPr>
                              <w:t>202</w:t>
                            </w:r>
                            <w:r>
                              <w:rPr>
                                <w:b/>
                                <w:sz w:val="32"/>
                              </w:rPr>
                              <w:t>1</w:t>
                            </w:r>
                          </w:p>
                        </w:txbxContent>
                      </wps:txbx>
                      <wps:bodyPr vert="horz" wrap="square" lIns="36576" tIns="36576" rIns="36576" bIns="36576"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14F91C4" id="Forme libre : forme 4" o:spid="_x0000_s1026" style="position:absolute;margin-left:-33.35pt;margin-top:.85pt;width:486pt;height:6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72200,848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" adj="-11796480,,5400" path="m617220,at,,1234440,1234440,617220,,,617220l,7869555at,7252335,1234440,8486775,,7869555,617220,8486775l5554980,8486775at4937760,7252335,6172200,8486775,5554980,8486775,6172200,7869555l6172200,617220at4937760,,6172200,1234440,6172200,617220,5554980,l617220,xe" strokecolor="#92d050" strokeweight=".35281mm">
                <v:stroke joinstyle="miter"/>
                <v:formulas/>
                <v:path arrowok="t" o:connecttype="custom" o:connectlocs="3086100,0;6172200,4243388;3086100,8486775;0,4243388" o:connectangles="270,0,90,180" textboxrect="180783,180783,5991417,8305992"/>
                <v:textbox inset="2.88pt,2.88pt,2.88pt,2.88pt">
                  <w:txbxContent>
                    <w:p w14:paraId="7E6D3AAB" w14:textId="77777777" w:rsidR="005A3F37" w:rsidRDefault="005A3F37" w:rsidP="00B813B1">
                      <w:pPr>
                        <w:autoSpaceDE w:val="0"/>
                        <w:spacing w:after="0" w:line="240" w:lineRule="auto"/>
                        <w:jc w:val="center"/>
                      </w:pPr>
                      <w:r>
                        <w:rPr>
                          <w:lang w:eastAsia="fr-FR"/>
                        </w:rPr>
                        <w:t xml:space="preserve">                                                      </w:t>
                      </w:r>
                    </w:p>
                    <w:p w14:paraId="3F70B339" w14:textId="77777777" w:rsidR="005A3F37" w:rsidRDefault="005A3F37" w:rsidP="00B813B1">
                      <w:pPr>
                        <w:autoSpaceDE w:val="0"/>
                        <w:spacing w:after="0" w:line="240" w:lineRule="auto"/>
                        <w:jc w:val="center"/>
                        <w:rPr>
                          <w:rFonts w:ascii="Arial" w:hAnsi="Arial" w:cs="Arial"/>
                          <w:b/>
                          <w:sz w:val="24"/>
                          <w:szCs w:val="24"/>
                        </w:rPr>
                      </w:pPr>
                      <w:r>
                        <w:rPr>
                          <w:rFonts w:ascii="Arial" w:hAnsi="Arial" w:cs="Arial"/>
                          <w:b/>
                          <w:sz w:val="24"/>
                          <w:szCs w:val="24"/>
                        </w:rPr>
                        <w:t xml:space="preserve">   </w:t>
                      </w:r>
                    </w:p>
                    <w:p w14:paraId="61986A58" w14:textId="77777777" w:rsidR="005A3F37" w:rsidRDefault="005A3F37" w:rsidP="00B813B1">
                      <w:pPr>
                        <w:autoSpaceDE w:val="0"/>
                        <w:spacing w:after="0" w:line="240" w:lineRule="auto"/>
                        <w:rPr>
                          <w:rFonts w:ascii="Arial" w:hAnsi="Arial" w:cs="Arial"/>
                          <w:b/>
                          <w:sz w:val="24"/>
                          <w:szCs w:val="24"/>
                        </w:rPr>
                      </w:pPr>
                    </w:p>
                    <w:p w14:paraId="2F34AD9A" w14:textId="77777777" w:rsidR="005A3F37" w:rsidRDefault="005A3F37" w:rsidP="00B813B1">
                      <w:pPr>
                        <w:autoSpaceDE w:val="0"/>
                        <w:spacing w:after="0" w:line="240" w:lineRule="auto"/>
                        <w:jc w:val="center"/>
                        <w:rPr>
                          <w:rFonts w:ascii="Arial" w:hAnsi="Arial" w:cs="Arial"/>
                          <w:b/>
                          <w:sz w:val="24"/>
                          <w:szCs w:val="24"/>
                        </w:rPr>
                      </w:pPr>
                    </w:p>
                    <w:p w14:paraId="12F4BB8C" w14:textId="77777777" w:rsidR="005A3F37" w:rsidRDefault="005A3F37" w:rsidP="00B813B1">
                      <w:pPr>
                        <w:pStyle w:val="Corpsdetexte"/>
                        <w:widowControl w:val="0"/>
                      </w:pPr>
                      <w:r w:rsidRPr="00F1621E">
                        <w:rPr>
                          <w:noProof/>
                        </w:rPr>
                        <w:drawing>
                          <wp:inline distT="0" distB="0" distL="0" distR="0" wp14:anchorId="6F3F6D43" wp14:editId="6F4FA3D7">
                            <wp:extent cx="2019935" cy="9277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35" cy="927735"/>
                                    </a:xfrm>
                                    <a:prstGeom prst="rect">
                                      <a:avLst/>
                                    </a:prstGeom>
                                    <a:noFill/>
                                    <a:ln>
                                      <a:noFill/>
                                    </a:ln>
                                  </pic:spPr>
                                </pic:pic>
                              </a:graphicData>
                            </a:graphic>
                          </wp:inline>
                        </w:drawing>
                      </w:r>
                    </w:p>
                    <w:p w14:paraId="51CBB217" w14:textId="77777777" w:rsidR="005A3F37" w:rsidRDefault="005A3F37" w:rsidP="00B813B1">
                      <w:pPr>
                        <w:pStyle w:val="Corpsdetexte"/>
                        <w:widowControl w:val="0"/>
                        <w:jc w:val="left"/>
                        <w:rPr>
                          <w:rFonts w:ascii="Garamond" w:hAnsi="Garamond" w:cs="Tahoma"/>
                          <w:b/>
                          <w:bCs/>
                          <w:sz w:val="52"/>
                          <w:szCs w:val="60"/>
                        </w:rPr>
                      </w:pPr>
                    </w:p>
                    <w:p w14:paraId="0E7BFA18" w14:textId="77777777" w:rsidR="005A3F37" w:rsidRDefault="005A3F37" w:rsidP="00B813B1">
                      <w:pPr>
                        <w:autoSpaceDE w:val="0"/>
                        <w:spacing w:after="0" w:line="240" w:lineRule="auto"/>
                        <w:jc w:val="center"/>
                        <w:rPr>
                          <w:rFonts w:ascii="Arial Rounded MT Bold" w:hAnsi="Arial Rounded MT Bold"/>
                          <w:b/>
                          <w:sz w:val="28"/>
                          <w:szCs w:val="28"/>
                        </w:rPr>
                      </w:pPr>
                    </w:p>
                    <w:p w14:paraId="4536271C" w14:textId="77777777" w:rsidR="005A3F37" w:rsidRDefault="005A3F37" w:rsidP="00B813B1">
                      <w:pPr>
                        <w:autoSpaceDE w:val="0"/>
                        <w:spacing w:after="0" w:line="240" w:lineRule="auto"/>
                        <w:jc w:val="center"/>
                        <w:rPr>
                          <w:rFonts w:ascii="Arial Rounded MT Bold" w:hAnsi="Arial Rounded MT Bold"/>
                          <w:b/>
                          <w:bCs/>
                          <w:sz w:val="28"/>
                          <w:szCs w:val="28"/>
                        </w:rPr>
                      </w:pPr>
                    </w:p>
                    <w:p w14:paraId="49874672" w14:textId="77777777" w:rsidR="005A3F37" w:rsidRDefault="005A3F37" w:rsidP="00B813B1">
                      <w:pPr>
                        <w:jc w:val="center"/>
                        <w:rPr>
                          <w:rFonts w:ascii="Calibri Light" w:hAnsi="Calibri Light"/>
                          <w:b/>
                          <w:color w:val="0070C0"/>
                          <w:sz w:val="32"/>
                          <w:szCs w:val="40"/>
                        </w:rPr>
                      </w:pPr>
                    </w:p>
                    <w:p w14:paraId="65A6651E" w14:textId="77777777" w:rsidR="005A3F37" w:rsidRDefault="005A3F37" w:rsidP="00B813B1">
                      <w:pPr>
                        <w:jc w:val="center"/>
                        <w:rPr>
                          <w:rFonts w:ascii="Arial" w:hAnsi="Arial" w:cs="Arial"/>
                          <w:b/>
                          <w:color w:val="0070C0"/>
                          <w:sz w:val="32"/>
                          <w:szCs w:val="40"/>
                        </w:rPr>
                      </w:pPr>
                    </w:p>
                    <w:p w14:paraId="3B822AB5" w14:textId="77777777" w:rsidR="005A3F37" w:rsidRDefault="005A3F37" w:rsidP="00B813B1">
                      <w:pPr>
                        <w:jc w:val="center"/>
                        <w:rPr>
                          <w:rFonts w:ascii="Arial" w:hAnsi="Arial" w:cs="Arial"/>
                          <w:b/>
                          <w:color w:val="0070C0"/>
                          <w:sz w:val="32"/>
                          <w:szCs w:val="40"/>
                        </w:rPr>
                      </w:pPr>
                    </w:p>
                    <w:p w14:paraId="0BAD306F" w14:textId="77777777" w:rsidR="005A3F37" w:rsidRDefault="005A3F37" w:rsidP="00B813B1">
                      <w:pPr>
                        <w:autoSpaceDE w:val="0"/>
                        <w:spacing w:after="0" w:line="240" w:lineRule="auto"/>
                        <w:jc w:val="center"/>
                        <w:rPr>
                          <w:rFonts w:ascii="Arial Rounded MT Bold" w:hAnsi="Arial Rounded MT Bold"/>
                          <w:b/>
                          <w:bCs/>
                          <w:sz w:val="28"/>
                          <w:szCs w:val="28"/>
                        </w:rPr>
                      </w:pPr>
                    </w:p>
                    <w:p w14:paraId="0E27BB2A" w14:textId="77777777" w:rsidR="005A3F37" w:rsidRDefault="005A3F37" w:rsidP="00B813B1">
                      <w:pPr>
                        <w:autoSpaceDE w:val="0"/>
                        <w:spacing w:after="0" w:line="240" w:lineRule="auto"/>
                        <w:jc w:val="center"/>
                        <w:rPr>
                          <w:rFonts w:ascii="Arial Rounded MT Bold" w:hAnsi="Arial Rounded MT Bold"/>
                          <w:b/>
                          <w:bCs/>
                          <w:sz w:val="28"/>
                          <w:szCs w:val="28"/>
                        </w:rPr>
                      </w:pPr>
                    </w:p>
                    <w:p w14:paraId="2543ED83" w14:textId="77777777" w:rsidR="005A3F37" w:rsidRDefault="005A3F37" w:rsidP="00B813B1">
                      <w:pPr>
                        <w:autoSpaceDE w:val="0"/>
                        <w:spacing w:after="0" w:line="240" w:lineRule="auto"/>
                        <w:rPr>
                          <w:rFonts w:ascii="Arial Rounded MT Bold" w:hAnsi="Arial Rounded MT Bold" w:cs="Garamond,Bold"/>
                          <w:b/>
                          <w:bCs/>
                          <w:sz w:val="28"/>
                          <w:szCs w:val="28"/>
                        </w:rPr>
                      </w:pPr>
                    </w:p>
                    <w:p w14:paraId="39FB775B" w14:textId="77777777" w:rsidR="005A3F37" w:rsidRDefault="005A3F37" w:rsidP="00B813B1">
                      <w:pPr>
                        <w:autoSpaceDE w:val="0"/>
                        <w:spacing w:after="0" w:line="240" w:lineRule="auto"/>
                        <w:jc w:val="center"/>
                        <w:rPr>
                          <w:rFonts w:ascii="Arial Rounded MT Bold" w:hAnsi="Arial Rounded MT Bold" w:cs="Garamond,Bold"/>
                          <w:b/>
                          <w:bCs/>
                          <w:sz w:val="28"/>
                          <w:szCs w:val="28"/>
                        </w:rPr>
                      </w:pPr>
                    </w:p>
                    <w:p w14:paraId="7F1EC3CF" w14:textId="77777777" w:rsidR="005A3F37" w:rsidRDefault="005A3F37" w:rsidP="00B813B1">
                      <w:pPr>
                        <w:autoSpaceDE w:val="0"/>
                        <w:spacing w:after="0" w:line="240" w:lineRule="auto"/>
                        <w:jc w:val="center"/>
                        <w:rPr>
                          <w:rFonts w:ascii="Arial Rounded MT Bold" w:hAnsi="Arial Rounded MT Bold" w:cs="Garamond,Bold"/>
                          <w:b/>
                          <w:bCs/>
                          <w:color w:val="000080"/>
                          <w:sz w:val="36"/>
                          <w:szCs w:val="24"/>
                        </w:rPr>
                      </w:pPr>
                    </w:p>
                    <w:p w14:paraId="5A4ACFAA" w14:textId="77777777" w:rsidR="005A3F37" w:rsidRDefault="005A3F37" w:rsidP="00B813B1">
                      <w:pPr>
                        <w:autoSpaceDE w:val="0"/>
                        <w:spacing w:after="0" w:line="240" w:lineRule="auto"/>
                        <w:jc w:val="right"/>
                        <w:rPr>
                          <w:rFonts w:ascii="Arial Rounded MT Bold" w:hAnsi="Arial Rounded MT Bold" w:cs="Arial"/>
                          <w:b/>
                          <w:bCs/>
                          <w:color w:val="000080"/>
                          <w:sz w:val="40"/>
                          <w:szCs w:val="24"/>
                        </w:rPr>
                      </w:pPr>
                    </w:p>
                    <w:p w14:paraId="030D8327" w14:textId="77777777" w:rsidR="005A3F37" w:rsidRDefault="005A3F37" w:rsidP="00B813B1">
                      <w:pPr>
                        <w:jc w:val="right"/>
                        <w:rPr>
                          <w:lang w:val="en-US"/>
                        </w:rPr>
                      </w:pPr>
                    </w:p>
                    <w:p w14:paraId="386D3334" w14:textId="77777777" w:rsidR="005A3F37" w:rsidRDefault="005A3F37" w:rsidP="00B813B1">
                      <w:pPr>
                        <w:jc w:val="right"/>
                        <w:rPr>
                          <w:lang w:val="en-US"/>
                        </w:rPr>
                      </w:pPr>
                    </w:p>
                    <w:p w14:paraId="50522909" w14:textId="77777777" w:rsidR="005A3F37" w:rsidRDefault="005A3F37" w:rsidP="00B813B1">
                      <w:pPr>
                        <w:jc w:val="right"/>
                        <w:rPr>
                          <w:lang w:val="en-US"/>
                        </w:rPr>
                      </w:pPr>
                    </w:p>
                    <w:p w14:paraId="7AFD1243" w14:textId="77777777" w:rsidR="005A3F37" w:rsidRPr="00F7362D" w:rsidRDefault="005A3F37" w:rsidP="00B813B1">
                      <w:pPr>
                        <w:spacing w:after="0"/>
                        <w:jc w:val="right"/>
                        <w:rPr>
                          <w:b/>
                          <w:sz w:val="32"/>
                        </w:rPr>
                      </w:pPr>
                      <w:r w:rsidRPr="00F7362D">
                        <w:rPr>
                          <w:b/>
                          <w:sz w:val="32"/>
                        </w:rPr>
                        <w:t>Action Contre la Faim</w:t>
                      </w:r>
                    </w:p>
                    <w:p w14:paraId="59B285EE" w14:textId="77777777" w:rsidR="005A3F37" w:rsidRPr="00F7362D" w:rsidRDefault="005A3F37" w:rsidP="00B813B1">
                      <w:pPr>
                        <w:spacing w:after="0"/>
                        <w:jc w:val="right"/>
                        <w:rPr>
                          <w:b/>
                          <w:sz w:val="32"/>
                        </w:rPr>
                      </w:pPr>
                      <w:r w:rsidRPr="00F7362D">
                        <w:rPr>
                          <w:b/>
                          <w:sz w:val="32"/>
                        </w:rPr>
                        <w:t>Bureau d’Afrique de l’Ouest et du C</w:t>
                      </w:r>
                      <w:r>
                        <w:rPr>
                          <w:b/>
                          <w:sz w:val="32"/>
                        </w:rPr>
                        <w:t xml:space="preserve">entre </w:t>
                      </w:r>
                    </w:p>
                    <w:p w14:paraId="30C8E363" w14:textId="10B175AC" w:rsidR="005A3F37" w:rsidRPr="00F7362D" w:rsidRDefault="00341218" w:rsidP="00B813B1">
                      <w:pPr>
                        <w:spacing w:after="0"/>
                        <w:jc w:val="right"/>
                        <w:rPr>
                          <w:b/>
                          <w:sz w:val="32"/>
                        </w:rPr>
                      </w:pPr>
                      <w:r>
                        <w:rPr>
                          <w:b/>
                          <w:sz w:val="32"/>
                        </w:rPr>
                        <w:t>Janvier</w:t>
                      </w:r>
                      <w:r>
                        <w:rPr>
                          <w:b/>
                          <w:sz w:val="32"/>
                        </w:rPr>
                        <w:t xml:space="preserve"> </w:t>
                      </w:r>
                      <w:r w:rsidR="005A3F37">
                        <w:rPr>
                          <w:b/>
                          <w:sz w:val="32"/>
                        </w:rPr>
                        <w:t>202</w:t>
                      </w:r>
                      <w:r>
                        <w:rPr>
                          <w:b/>
                          <w:sz w:val="32"/>
                        </w:rPr>
                        <w:t>1</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424515C" wp14:editId="30523B59">
                <wp:simplePos x="0" y="0"/>
                <wp:positionH relativeFrom="column">
                  <wp:posOffset>-4445</wp:posOffset>
                </wp:positionH>
                <wp:positionV relativeFrom="paragraph">
                  <wp:posOffset>-327025</wp:posOffset>
                </wp:positionV>
                <wp:extent cx="6080125" cy="9066530"/>
                <wp:effectExtent l="0" t="0" r="0" b="20320"/>
                <wp:wrapNone/>
                <wp:docPr id="2" name="Forme libre : for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0125" cy="9066530"/>
                        </a:xfrm>
                        <a:custGeom>
                          <a:avLst>
                            <a:gd name="f10" fmla="val 2160"/>
                          </a:avLst>
                          <a:gdLst>
                            <a:gd name="f1" fmla="val 10800000"/>
                            <a:gd name="f2" fmla="val 5400000"/>
                            <a:gd name="f3" fmla="val 16200000"/>
                            <a:gd name="f4" fmla="val w"/>
                            <a:gd name="f5" fmla="val h"/>
                            <a:gd name="f6" fmla="val ss"/>
                            <a:gd name="f7" fmla="val 0"/>
                            <a:gd name="f8" fmla="*/ 5419351 1 1725033"/>
                            <a:gd name="f9" fmla="val 45"/>
                            <a:gd name="f10" fmla="val 216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36A101"/>
                        </a:solidFill>
                        <a:ln cap="flat">
                          <a:noFill/>
                          <a:prstDash val="solid"/>
                        </a:ln>
                        <a:effectLst>
                          <a:outerShdw dist="19046" dir="5400000" algn="tl">
                            <a:srgbClr val="000000">
                              <a:alpha val="63000"/>
                            </a:srgbClr>
                          </a:outerShdw>
                        </a:effectLst>
                      </wps:spPr>
                      <wps:bodyPr lIns="0" tIns="0" rIns="0" bIns="0"/>
                    </wps:wsp>
                  </a:graphicData>
                </a:graphic>
                <wp14:sizeRelH relativeFrom="page">
                  <wp14:pctWidth>0</wp14:pctWidth>
                </wp14:sizeRelH>
                <wp14:sizeRelV relativeFrom="page">
                  <wp14:pctHeight>0</wp14:pctHeight>
                </wp14:sizeRelV>
              </wp:anchor>
            </w:drawing>
          </mc:Choice>
          <mc:Fallback>
            <w:pict>
              <v:shape w14:anchorId="18F18EA5" id="Forme libre : forme 2" o:spid="_x0000_s1026" style="position:absolute;margin-left:-.35pt;margin-top:-25.75pt;width:478.75pt;height:7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80125,906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" path="m608012,at,,1216024,1216024,608012,,,608012l,8458517at,7850505,1216024,9066529,,8458517,608012,9066529l5472112,9066530at4864100,7850506,6080124,9066530,5472112,9066530,6080124,8458518l6080125,608012at4864101,,6080125,1216024,6080125,608012,5472113,l608012,xe" fillcolor="#36a101" stroked="f">
                <v:shadow on="t" color="black" opacity="41287f" origin="-.5,-.5" offset="0,.52906mm"/>
                <v:path arrowok="t" o:connecttype="custom" o:connectlocs="3040063,0;6080125,4533265;3040063,9066530;0,4533265" o:connectangles="270,0,90,180" textboxrect="178086,178086,5902039,8888444"/>
              </v:shape>
            </w:pict>
          </mc:Fallback>
        </mc:AlternateContent>
      </w:r>
      <w:r>
        <w:rPr>
          <w:b/>
          <w:sz w:val="32"/>
        </w:rPr>
        <w:t xml:space="preserve">                                                  </w:t>
      </w:r>
    </w:p>
    <w:p w14:paraId="2E5E6006" w14:textId="77777777" w:rsidR="00B813B1" w:rsidRDefault="00B813B1" w:rsidP="00B813B1">
      <w:pPr>
        <w:spacing w:before="200"/>
        <w:jc w:val="both"/>
      </w:pPr>
    </w:p>
    <w:p w14:paraId="759683B1" w14:textId="77777777" w:rsidR="00B813B1" w:rsidRDefault="00B813B1" w:rsidP="00B813B1">
      <w:pPr>
        <w:jc w:val="center"/>
      </w:pPr>
      <w:r>
        <w:rPr>
          <w:lang w:eastAsia="fr-FR"/>
        </w:rPr>
        <w:t xml:space="preserve"> </w:t>
      </w:r>
    </w:p>
    <w:p w14:paraId="2A472260" w14:textId="77777777" w:rsidR="00B813B1" w:rsidRPr="00B813B1" w:rsidRDefault="00B813B1" w:rsidP="00B813B1">
      <w:pPr>
        <w:jc w:val="center"/>
        <w:rPr>
          <w:b/>
          <w:sz w:val="36"/>
          <w:szCs w:val="20"/>
          <w:u w:val="single"/>
        </w:rPr>
      </w:pPr>
      <w:r>
        <w:rPr>
          <w:noProof/>
          <w:lang w:eastAsia="fr-FR"/>
        </w:rPr>
        <mc:AlternateContent>
          <mc:Choice Requires="wps">
            <w:drawing>
              <wp:anchor distT="0" distB="0" distL="114300" distR="114300" simplePos="0" relativeHeight="251661312" behindDoc="0" locked="0" layoutInCell="1" allowOverlap="1" wp14:anchorId="5DBB81CC" wp14:editId="7D6F5F59">
                <wp:simplePos x="0" y="0"/>
                <wp:positionH relativeFrom="margin">
                  <wp:posOffset>-252095</wp:posOffset>
                </wp:positionH>
                <wp:positionV relativeFrom="paragraph">
                  <wp:posOffset>2397759</wp:posOffset>
                </wp:positionV>
                <wp:extent cx="5829300" cy="1971675"/>
                <wp:effectExtent l="0" t="0" r="19050" b="2857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971675"/>
                        </a:xfrm>
                        <a:prstGeom prst="rect">
                          <a:avLst/>
                        </a:prstGeom>
                        <a:solidFill>
                          <a:srgbClr val="E2F0D9"/>
                        </a:solidFill>
                        <a:ln w="6345">
                          <a:solidFill>
                            <a:srgbClr val="92D050"/>
                          </a:solidFill>
                          <a:prstDash val="solid"/>
                        </a:ln>
                      </wps:spPr>
                      <wps:txbx>
                        <w:txbxContent>
                          <w:p w14:paraId="0A26A2C7" w14:textId="77777777" w:rsidR="005A3F37" w:rsidRDefault="005A3F37" w:rsidP="00B813B1">
                            <w:pPr>
                              <w:jc w:val="center"/>
                              <w:rPr>
                                <w:b/>
                                <w:sz w:val="52"/>
                                <w:u w:val="single"/>
                              </w:rPr>
                            </w:pPr>
                            <w:r>
                              <w:rPr>
                                <w:b/>
                                <w:sz w:val="52"/>
                                <w:u w:val="single"/>
                              </w:rPr>
                              <w:t>Termes de référence</w:t>
                            </w:r>
                          </w:p>
                          <w:p w14:paraId="073F743A" w14:textId="77777777" w:rsidR="005A3F37" w:rsidRPr="00B813B1" w:rsidRDefault="005A3F37" w:rsidP="00B813B1">
                            <w:pPr>
                              <w:jc w:val="center"/>
                              <w:rPr>
                                <w:b/>
                                <w:sz w:val="36"/>
                                <w:szCs w:val="20"/>
                              </w:rPr>
                            </w:pPr>
                            <w:r w:rsidRPr="00B813B1">
                              <w:rPr>
                                <w:b/>
                                <w:sz w:val="36"/>
                                <w:szCs w:val="20"/>
                              </w:rPr>
                              <w:t xml:space="preserve">Recrutement d’un consultant </w:t>
                            </w:r>
                            <w:r>
                              <w:rPr>
                                <w:b/>
                                <w:sz w:val="36"/>
                                <w:szCs w:val="20"/>
                              </w:rPr>
                              <w:t>chargé de</w:t>
                            </w:r>
                            <w:r w:rsidRPr="00B813B1">
                              <w:rPr>
                                <w:b/>
                                <w:sz w:val="36"/>
                                <w:szCs w:val="20"/>
                              </w:rPr>
                              <w:t xml:space="preserve"> la conception d’une campagne de communication et de plaidoyer pour mobiliser des financements domestiques en faveur de la </w:t>
                            </w:r>
                            <w:r w:rsidR="00E273C8">
                              <w:rPr>
                                <w:b/>
                                <w:sz w:val="36"/>
                                <w:szCs w:val="20"/>
                              </w:rPr>
                              <w:t xml:space="preserve">santé / </w:t>
                            </w:r>
                            <w:r w:rsidRPr="00B813B1">
                              <w:rPr>
                                <w:b/>
                                <w:sz w:val="36"/>
                                <w:szCs w:val="20"/>
                              </w:rPr>
                              <w:t>nutrition en Afrique de l’Ouest et centre</w:t>
                            </w:r>
                          </w:p>
                          <w:p w14:paraId="285A96EF" w14:textId="77777777" w:rsidR="005A3F37" w:rsidRDefault="005A3F37" w:rsidP="00B813B1"/>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5DBB81CC" id="_x0000_t202" coordsize="21600,21600" o:spt="202" path="m,l,21600r21600,l21600,xe">
                <v:stroke joinstyle="miter"/>
                <v:path gradientshapeok="t" o:connecttype="rect"/>
              </v:shapetype>
              <v:shape id="Zone de texte 7" o:spid="_x0000_s1027" type="#_x0000_t202" style="position:absolute;left:0;text-align:left;margin-left:-19.85pt;margin-top:188.8pt;width:459pt;height:15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" fillcolor="#e2f0d9" strokecolor="#92d050" strokeweight=".17625mm">
                <v:path arrowok="t"/>
                <v:textbox>
                  <w:txbxContent>
                    <w:p w14:paraId="0A26A2C7" w14:textId="77777777" w:rsidR="005A3F37" w:rsidRDefault="005A3F37" w:rsidP="00B813B1">
                      <w:pPr>
                        <w:jc w:val="center"/>
                        <w:rPr>
                          <w:b/>
                          <w:sz w:val="52"/>
                          <w:u w:val="single"/>
                        </w:rPr>
                      </w:pPr>
                      <w:r>
                        <w:rPr>
                          <w:b/>
                          <w:sz w:val="52"/>
                          <w:u w:val="single"/>
                        </w:rPr>
                        <w:t>Termes de référence</w:t>
                      </w:r>
                    </w:p>
                    <w:p w14:paraId="073F743A" w14:textId="77777777" w:rsidR="005A3F37" w:rsidRPr="00B813B1" w:rsidRDefault="005A3F37" w:rsidP="00B813B1">
                      <w:pPr>
                        <w:jc w:val="center"/>
                        <w:rPr>
                          <w:b/>
                          <w:sz w:val="36"/>
                          <w:szCs w:val="20"/>
                        </w:rPr>
                      </w:pPr>
                      <w:r w:rsidRPr="00B813B1">
                        <w:rPr>
                          <w:b/>
                          <w:sz w:val="36"/>
                          <w:szCs w:val="20"/>
                        </w:rPr>
                        <w:t xml:space="preserve">Recrutement d’un consultant </w:t>
                      </w:r>
                      <w:r>
                        <w:rPr>
                          <w:b/>
                          <w:sz w:val="36"/>
                          <w:szCs w:val="20"/>
                        </w:rPr>
                        <w:t>chargé de</w:t>
                      </w:r>
                      <w:r w:rsidRPr="00B813B1">
                        <w:rPr>
                          <w:b/>
                          <w:sz w:val="36"/>
                          <w:szCs w:val="20"/>
                        </w:rPr>
                        <w:t xml:space="preserve"> la conception d’une campagne de communication et de plaidoyer pour mobiliser des financements domestiques en faveur de la </w:t>
                      </w:r>
                      <w:r w:rsidR="00E273C8">
                        <w:rPr>
                          <w:b/>
                          <w:sz w:val="36"/>
                          <w:szCs w:val="20"/>
                        </w:rPr>
                        <w:t xml:space="preserve">santé / </w:t>
                      </w:r>
                      <w:r w:rsidRPr="00B813B1">
                        <w:rPr>
                          <w:b/>
                          <w:sz w:val="36"/>
                          <w:szCs w:val="20"/>
                        </w:rPr>
                        <w:t>nutrition en Afrique de l’Ouest et centre</w:t>
                      </w:r>
                    </w:p>
                    <w:p w14:paraId="285A96EF" w14:textId="77777777" w:rsidR="005A3F37" w:rsidRDefault="005A3F37" w:rsidP="00B813B1"/>
                  </w:txbxContent>
                </v:textbox>
                <w10:wrap anchorx="margin"/>
              </v:shape>
            </w:pict>
          </mc:Fallback>
        </mc:AlternateContent>
      </w:r>
      <w:r>
        <w:br w:type="page"/>
      </w:r>
      <w:r w:rsidRPr="00B813B1">
        <w:rPr>
          <w:b/>
          <w:sz w:val="28"/>
          <w:szCs w:val="16"/>
          <w:u w:val="single"/>
        </w:rPr>
        <w:lastRenderedPageBreak/>
        <w:t xml:space="preserve">Recrutement d’un consultant chargé de la conception d’une campagne de communication et de plaidoyer pour mobiliser des financements domestiques en faveur de la </w:t>
      </w:r>
      <w:r w:rsidR="00E273C8">
        <w:rPr>
          <w:b/>
          <w:sz w:val="28"/>
          <w:szCs w:val="16"/>
          <w:u w:val="single"/>
        </w:rPr>
        <w:t>santé /</w:t>
      </w:r>
      <w:r w:rsidRPr="00B813B1">
        <w:rPr>
          <w:b/>
          <w:sz w:val="28"/>
          <w:szCs w:val="16"/>
          <w:u w:val="single"/>
        </w:rPr>
        <w:t>nutrition en Afrique de l’Ouest et centre</w:t>
      </w:r>
    </w:p>
    <w:p w14:paraId="05FE8722" w14:textId="77777777" w:rsidR="00B813B1" w:rsidRDefault="00B813B1" w:rsidP="00B813B1">
      <w:pPr>
        <w:jc w:val="center"/>
      </w:pPr>
    </w:p>
    <w:p w14:paraId="1092D70E" w14:textId="77777777" w:rsidR="00B813B1" w:rsidRPr="00CE7124" w:rsidRDefault="00B813B1" w:rsidP="00B813B1">
      <w:pPr>
        <w:pStyle w:val="Paragraphedeliste"/>
        <w:numPr>
          <w:ilvl w:val="0"/>
          <w:numId w:val="1"/>
        </w:numPr>
        <w:rPr>
          <w:b/>
          <w:sz w:val="28"/>
          <w:szCs w:val="20"/>
          <w:u w:val="single"/>
        </w:rPr>
      </w:pPr>
      <w:r w:rsidRPr="00CE7124">
        <w:rPr>
          <w:b/>
          <w:sz w:val="28"/>
          <w:szCs w:val="20"/>
          <w:u w:val="single"/>
        </w:rPr>
        <w:t>Contexte et justification</w:t>
      </w:r>
    </w:p>
    <w:p w14:paraId="6C50F44C" w14:textId="77777777" w:rsidR="00B813B1" w:rsidRPr="00CE7124" w:rsidRDefault="00B813B1" w:rsidP="00B813B1">
      <w:pPr>
        <w:pStyle w:val="Default"/>
        <w:ind w:firstLine="708"/>
        <w:jc w:val="both"/>
        <w:rPr>
          <w:sz w:val="26"/>
          <w:szCs w:val="26"/>
        </w:rPr>
      </w:pPr>
      <w:r w:rsidRPr="00CE7124">
        <w:rPr>
          <w:sz w:val="26"/>
          <w:szCs w:val="26"/>
        </w:rPr>
        <w:t>La malnutrition demeure un problème de développement affectant tous les pays du monde et ayant un grave impact humain, économique et social. Une</w:t>
      </w:r>
      <w:r>
        <w:rPr>
          <w:sz w:val="26"/>
          <w:szCs w:val="26"/>
        </w:rPr>
        <w:t xml:space="preserve">        </w:t>
      </w:r>
      <w:r w:rsidRPr="00CE7124">
        <w:rPr>
          <w:sz w:val="26"/>
          <w:szCs w:val="26"/>
        </w:rPr>
        <w:t xml:space="preserve"> personne sur 3 dans le monde est touchée et environ 45% des enfants de moins de 5 ans qui meurent ont souffert de la malnutrition. Les plus grands dommages surviennent pendant les 1000 premiers jours de l’enfant et peuvent avoir malheureusement des séquelles irréversibles sur la santé de l’enfant.  Le dernier rapport mondial sur la nutrition publié en 2018 précise que « </w:t>
      </w:r>
      <w:r w:rsidRPr="00CE7124">
        <w:rPr>
          <w:b/>
          <w:bCs/>
          <w:i/>
          <w:iCs/>
          <w:sz w:val="26"/>
          <w:szCs w:val="26"/>
        </w:rPr>
        <w:t>L'Afrique est de loin la région la plus durement touchée par des formes cumulées de malnutrition</w:t>
      </w:r>
      <w:r w:rsidRPr="00CE7124">
        <w:rPr>
          <w:i/>
          <w:iCs/>
          <w:sz w:val="26"/>
          <w:szCs w:val="26"/>
        </w:rPr>
        <w:t xml:space="preserve">. Sur les 41 pays luttant contre trois aspects de la malnutrition - le retard de croissance chez les enfants, l'anémie chez les femmes en âge de procréer et le surpoids chez les femmes - 30 se trouvent en Afrique, soit 73 %.  S’y ajoute une hausse générale du surpoids et de l'obésité. </w:t>
      </w:r>
      <w:r w:rsidRPr="00CE7124">
        <w:rPr>
          <w:b/>
          <w:bCs/>
          <w:i/>
          <w:iCs/>
          <w:sz w:val="26"/>
          <w:szCs w:val="26"/>
        </w:rPr>
        <w:t>Aucun des 54 pays africains n'est sur la bonne voie pour atteindre 5 des 9 objectifs fixés en matière de lutte contre la malnutrition</w:t>
      </w:r>
      <w:r w:rsidRPr="00CE7124">
        <w:rPr>
          <w:sz w:val="26"/>
          <w:szCs w:val="26"/>
        </w:rPr>
        <w:t xml:space="preserve"> ». L’Afrique reste le seul continent où le nombre de malnutris chroniques continuent d’augmenter. </w:t>
      </w:r>
    </w:p>
    <w:p w14:paraId="78B8FAFF" w14:textId="77777777" w:rsidR="00B813B1" w:rsidRPr="00CE7124" w:rsidRDefault="00B813B1" w:rsidP="00B813B1">
      <w:pPr>
        <w:pStyle w:val="Default"/>
        <w:ind w:firstLine="708"/>
        <w:jc w:val="both"/>
        <w:rPr>
          <w:sz w:val="26"/>
          <w:szCs w:val="26"/>
        </w:rPr>
      </w:pPr>
      <w:r w:rsidRPr="00CE7124">
        <w:rPr>
          <w:sz w:val="26"/>
          <w:szCs w:val="26"/>
        </w:rPr>
        <w:t xml:space="preserve">La situation particulière de l’Afrique de </w:t>
      </w:r>
      <w:r w:rsidRPr="00CE7124">
        <w:rPr>
          <w:b/>
          <w:bCs/>
          <w:sz w:val="26"/>
          <w:szCs w:val="26"/>
        </w:rPr>
        <w:t>l’Ouest est</w:t>
      </w:r>
      <w:r w:rsidRPr="00CE7124">
        <w:rPr>
          <w:sz w:val="26"/>
          <w:szCs w:val="26"/>
        </w:rPr>
        <w:t xml:space="preserve"> encore plus préoccupante. En effet, en 2018, près d’un enfant sur trois (29,9 %) souffraient de malnutrition chronique, avec un nombre de victimes qui ne cesse d’augmenter (passé de 14,9</w:t>
      </w:r>
      <w:r>
        <w:rPr>
          <w:sz w:val="26"/>
          <w:szCs w:val="26"/>
        </w:rPr>
        <w:t xml:space="preserve">  </w:t>
      </w:r>
      <w:r w:rsidRPr="00CE7124">
        <w:rPr>
          <w:sz w:val="26"/>
          <w:szCs w:val="26"/>
        </w:rPr>
        <w:t xml:space="preserve"> millions en 2000 à 18,5 millions en 2018, selon les dernières estimations conjointes UNICEF / OMS).  En 2018, près d’un enfant sur dix a souffert de malnutrition aigüe, soit 5,1 millions. Une femme (adolescente et femme en âge de procréer) sur deux a souffert d’anémie et </w:t>
      </w:r>
      <w:r w:rsidRPr="00CE7124">
        <w:rPr>
          <w:b/>
          <w:bCs/>
          <w:sz w:val="26"/>
          <w:szCs w:val="26"/>
        </w:rPr>
        <w:t xml:space="preserve">aucun des pays d’Afrique de l’Ouest n’est en bonne voie pour atteindre </w:t>
      </w:r>
      <w:r>
        <w:rPr>
          <w:b/>
          <w:bCs/>
          <w:sz w:val="26"/>
          <w:szCs w:val="26"/>
        </w:rPr>
        <w:t xml:space="preserve">cibles sur </w:t>
      </w:r>
      <w:r w:rsidRPr="00CE7124">
        <w:rPr>
          <w:b/>
          <w:bCs/>
          <w:sz w:val="26"/>
          <w:szCs w:val="26"/>
        </w:rPr>
        <w:t>l’anémie</w:t>
      </w:r>
      <w:r w:rsidRPr="00CE7124">
        <w:rPr>
          <w:sz w:val="26"/>
          <w:szCs w:val="26"/>
        </w:rPr>
        <w:t xml:space="preserve">. </w:t>
      </w:r>
    </w:p>
    <w:p w14:paraId="6B81FE59" w14:textId="355A2F00" w:rsidR="00B813B1" w:rsidRPr="006B066D" w:rsidRDefault="00B813B1" w:rsidP="00B813B1">
      <w:pPr>
        <w:jc w:val="both"/>
        <w:rPr>
          <w:sz w:val="26"/>
          <w:szCs w:val="26"/>
        </w:rPr>
      </w:pPr>
      <w:r w:rsidRPr="006B066D">
        <w:rPr>
          <w:sz w:val="26"/>
          <w:szCs w:val="26"/>
        </w:rPr>
        <w:t>Face à cette situation, les gouvernements, la société civile, les nations unies ainsi que les partenaires techniques et financiers s’investissent pour inverser les tendances. Ainsi, plusieurs pays d’Afrique de l’Ouest et du Centre se sont engagés pour un</w:t>
      </w:r>
      <w:r>
        <w:rPr>
          <w:sz w:val="26"/>
          <w:szCs w:val="26"/>
        </w:rPr>
        <w:t xml:space="preserve"> </w:t>
      </w:r>
      <w:r w:rsidRPr="006B066D">
        <w:rPr>
          <w:sz w:val="26"/>
          <w:szCs w:val="26"/>
        </w:rPr>
        <w:t xml:space="preserve">renforcement de la lutte contre la malnutrition en adhérant au mouvement Scaling Up Nutrition (SUN). Cette adhésion les amène à travailler à la réduction significative et durable de la sous-nutrition, à l'amélioration de la santé et de la prospérité des générations futures. </w:t>
      </w:r>
      <w:r w:rsidR="009D5FC0">
        <w:rPr>
          <w:sz w:val="26"/>
          <w:szCs w:val="26"/>
        </w:rPr>
        <w:t>Cet engagement n’a malheureusement pas été suivi que d’une faible mobilisation de ressources financières pour la mise en œuvre de projets et programmes adaptés. Le financement de la</w:t>
      </w:r>
      <w:r w:rsidR="00E273C8">
        <w:rPr>
          <w:sz w:val="26"/>
          <w:szCs w:val="26"/>
        </w:rPr>
        <w:t xml:space="preserve"> santé/</w:t>
      </w:r>
      <w:r w:rsidR="009D5FC0">
        <w:rPr>
          <w:sz w:val="26"/>
          <w:szCs w:val="26"/>
        </w:rPr>
        <w:t xml:space="preserve"> nutrition reste très dépendant des fonds extérieurs des donateurs et peu d’initiatives innovantes sont développées</w:t>
      </w:r>
      <w:r w:rsidR="00F8291E">
        <w:rPr>
          <w:sz w:val="26"/>
          <w:szCs w:val="26"/>
        </w:rPr>
        <w:t xml:space="preserve"> pour des financements avec des fonds domestiques. Selon les analyses réalisées, moins de 2% des budgets nationaux sont dédiés à la nutrition dans les pays d’Afrique de l’Ouest </w:t>
      </w:r>
      <w:r w:rsidR="00F8291E">
        <w:rPr>
          <w:sz w:val="26"/>
          <w:szCs w:val="26"/>
        </w:rPr>
        <w:lastRenderedPageBreak/>
        <w:t xml:space="preserve">et du Centre. </w:t>
      </w:r>
      <w:r w:rsidR="00E82C5A">
        <w:rPr>
          <w:sz w:val="26"/>
          <w:szCs w:val="26"/>
        </w:rPr>
        <w:t xml:space="preserve">La pandémie à COVID19 a contribué à aggraver cette situation car les Etats ont </w:t>
      </w:r>
      <w:r w:rsidR="00341218">
        <w:rPr>
          <w:sz w:val="26"/>
          <w:szCs w:val="26"/>
        </w:rPr>
        <w:t>dû</w:t>
      </w:r>
      <w:r w:rsidR="00E82C5A">
        <w:rPr>
          <w:sz w:val="26"/>
          <w:szCs w:val="26"/>
        </w:rPr>
        <w:t xml:space="preserve"> re orienter certains budgets nationaux pour faire face à cette urgence sanitaire. </w:t>
      </w:r>
    </w:p>
    <w:p w14:paraId="750783F4" w14:textId="77777777" w:rsidR="00B813B1" w:rsidRPr="006B066D" w:rsidRDefault="00F8291E" w:rsidP="00B813B1">
      <w:pPr>
        <w:jc w:val="both"/>
        <w:rPr>
          <w:sz w:val="26"/>
          <w:szCs w:val="26"/>
        </w:rPr>
      </w:pPr>
      <w:r>
        <w:rPr>
          <w:sz w:val="26"/>
          <w:szCs w:val="26"/>
        </w:rPr>
        <w:t>Action contre la Faim, d</w:t>
      </w:r>
      <w:r w:rsidR="0067288D">
        <w:rPr>
          <w:sz w:val="26"/>
          <w:szCs w:val="26"/>
        </w:rPr>
        <w:t xml:space="preserve">epuis quelques années porte le plaidoyer en vue d’un meilleur financement de la </w:t>
      </w:r>
      <w:r w:rsidR="00E273C8">
        <w:rPr>
          <w:sz w:val="26"/>
          <w:szCs w:val="26"/>
        </w:rPr>
        <w:t xml:space="preserve">santé / </w:t>
      </w:r>
      <w:r w:rsidR="0067288D">
        <w:rPr>
          <w:sz w:val="26"/>
          <w:szCs w:val="26"/>
        </w:rPr>
        <w:t>nutrition. Elle souhaite lancer une campagne en prévision du sommet nutrition pour la croissance prévue à Tokyo en décembre 2021 afin d’exhorter les pays à prendre plus d’engagements financiers et am</w:t>
      </w:r>
      <w:r w:rsidR="00B813B1" w:rsidRPr="006B066D">
        <w:rPr>
          <w:rFonts w:cs="Calibri"/>
          <w:sz w:val="26"/>
          <w:szCs w:val="26"/>
        </w:rPr>
        <w:t xml:space="preserve">bitieux pour mettre un terme à la malnutrition. </w:t>
      </w:r>
      <w:r w:rsidR="0067288D">
        <w:rPr>
          <w:rFonts w:cs="Calibri"/>
          <w:sz w:val="26"/>
          <w:szCs w:val="26"/>
        </w:rPr>
        <w:t>C’est dans ce cadre que le présent TDR est réalisé afin d</w:t>
      </w:r>
      <w:r w:rsidR="00B813B1" w:rsidRPr="006B066D">
        <w:rPr>
          <w:rFonts w:cs="Calibri"/>
          <w:sz w:val="26"/>
          <w:szCs w:val="26"/>
        </w:rPr>
        <w:t>e</w:t>
      </w:r>
      <w:r w:rsidR="0067288D">
        <w:rPr>
          <w:rFonts w:cs="Calibri"/>
          <w:sz w:val="26"/>
          <w:szCs w:val="26"/>
        </w:rPr>
        <w:t xml:space="preserve"> recruter un consultant pour élaborer </w:t>
      </w:r>
      <w:r w:rsidR="00106B9C">
        <w:rPr>
          <w:rFonts w:cs="Calibri"/>
          <w:sz w:val="26"/>
          <w:szCs w:val="26"/>
        </w:rPr>
        <w:t>une stratégie et des outils de base de la</w:t>
      </w:r>
      <w:r w:rsidR="0067288D">
        <w:rPr>
          <w:rFonts w:cs="Calibri"/>
          <w:sz w:val="26"/>
          <w:szCs w:val="26"/>
        </w:rPr>
        <w:t xml:space="preserve"> campagne de communication et de plai</w:t>
      </w:r>
      <w:r w:rsidR="00B813B1" w:rsidRPr="006B066D">
        <w:rPr>
          <w:rFonts w:cs="Calibri"/>
          <w:sz w:val="26"/>
          <w:szCs w:val="26"/>
        </w:rPr>
        <w:t xml:space="preserve">doyer </w:t>
      </w:r>
    </w:p>
    <w:p w14:paraId="3C5E2FF0" w14:textId="77777777" w:rsidR="00B813B1" w:rsidRPr="006B066D" w:rsidRDefault="00B813B1" w:rsidP="00B813B1">
      <w:pPr>
        <w:pStyle w:val="Paragraphedeliste"/>
        <w:numPr>
          <w:ilvl w:val="0"/>
          <w:numId w:val="1"/>
        </w:numPr>
        <w:rPr>
          <w:b/>
          <w:sz w:val="28"/>
          <w:szCs w:val="18"/>
          <w:u w:val="single"/>
        </w:rPr>
      </w:pPr>
      <w:r w:rsidRPr="006B066D">
        <w:rPr>
          <w:b/>
          <w:sz w:val="28"/>
          <w:szCs w:val="18"/>
          <w:u w:val="single"/>
        </w:rPr>
        <w:t>But de la consultation</w:t>
      </w:r>
    </w:p>
    <w:p w14:paraId="0461CD41" w14:textId="77777777" w:rsidR="00B813B1" w:rsidRPr="006B066D" w:rsidRDefault="00B813B1" w:rsidP="00B813B1">
      <w:pPr>
        <w:jc w:val="both"/>
        <w:rPr>
          <w:sz w:val="26"/>
          <w:szCs w:val="26"/>
        </w:rPr>
      </w:pPr>
      <w:r w:rsidRPr="006B066D">
        <w:rPr>
          <w:sz w:val="26"/>
          <w:szCs w:val="26"/>
        </w:rPr>
        <w:t xml:space="preserve">La consultation vise </w:t>
      </w:r>
      <w:r w:rsidR="005A3F37">
        <w:rPr>
          <w:sz w:val="26"/>
          <w:szCs w:val="26"/>
        </w:rPr>
        <w:t>à réaliser un</w:t>
      </w:r>
      <w:r w:rsidR="00106B9C">
        <w:rPr>
          <w:sz w:val="26"/>
          <w:szCs w:val="26"/>
        </w:rPr>
        <w:t xml:space="preserve">e stratégie et un package d’outils pour réaliser </w:t>
      </w:r>
      <w:r w:rsidR="005A3F37">
        <w:rPr>
          <w:sz w:val="26"/>
          <w:szCs w:val="26"/>
        </w:rPr>
        <w:t xml:space="preserve">une campagne de communication et de plaidoyer en faveur du financement domestique de la </w:t>
      </w:r>
      <w:r w:rsidR="00E273C8">
        <w:rPr>
          <w:sz w:val="26"/>
          <w:szCs w:val="26"/>
        </w:rPr>
        <w:t xml:space="preserve">santé / </w:t>
      </w:r>
      <w:r w:rsidR="005A3F37">
        <w:rPr>
          <w:sz w:val="26"/>
          <w:szCs w:val="26"/>
        </w:rPr>
        <w:t>nutrition</w:t>
      </w:r>
      <w:r>
        <w:rPr>
          <w:sz w:val="26"/>
          <w:szCs w:val="26"/>
        </w:rPr>
        <w:t xml:space="preserve"> en Afrique de l’Ouest et du Centre. </w:t>
      </w:r>
      <w:r w:rsidRPr="006B066D">
        <w:rPr>
          <w:sz w:val="26"/>
          <w:szCs w:val="26"/>
        </w:rPr>
        <w:t xml:space="preserve"> </w:t>
      </w:r>
      <w:r w:rsidR="005A3F37">
        <w:rPr>
          <w:sz w:val="26"/>
          <w:szCs w:val="26"/>
        </w:rPr>
        <w:t>Ce</w:t>
      </w:r>
      <w:r w:rsidR="00106B9C">
        <w:rPr>
          <w:sz w:val="26"/>
          <w:szCs w:val="26"/>
        </w:rPr>
        <w:t xml:space="preserve"> travail devrait être effectué</w:t>
      </w:r>
      <w:r w:rsidR="005A3F37">
        <w:rPr>
          <w:sz w:val="26"/>
          <w:szCs w:val="26"/>
        </w:rPr>
        <w:t xml:space="preserve"> en commun accord avec le département de plaidoyer du bureau régional d’Action contre la Faim. </w:t>
      </w:r>
    </w:p>
    <w:p w14:paraId="370BD988" w14:textId="77777777" w:rsidR="00B813B1" w:rsidRPr="006B066D" w:rsidRDefault="00B813B1" w:rsidP="00B813B1">
      <w:pPr>
        <w:pStyle w:val="Paragraphedeliste"/>
        <w:numPr>
          <w:ilvl w:val="0"/>
          <w:numId w:val="1"/>
        </w:numPr>
        <w:rPr>
          <w:b/>
          <w:sz w:val="28"/>
          <w:szCs w:val="18"/>
          <w:u w:val="single"/>
        </w:rPr>
      </w:pPr>
      <w:r w:rsidRPr="006B066D">
        <w:rPr>
          <w:b/>
          <w:sz w:val="28"/>
          <w:szCs w:val="18"/>
          <w:u w:val="single"/>
        </w:rPr>
        <w:t>Objectifs de la consultation</w:t>
      </w:r>
    </w:p>
    <w:p w14:paraId="5CA5029B" w14:textId="77777777" w:rsidR="00106B9C" w:rsidRDefault="005A3F37" w:rsidP="00B813B1">
      <w:pPr>
        <w:pStyle w:val="Paragraphedeliste"/>
        <w:numPr>
          <w:ilvl w:val="0"/>
          <w:numId w:val="2"/>
        </w:numPr>
        <w:spacing w:after="0"/>
        <w:jc w:val="both"/>
        <w:rPr>
          <w:sz w:val="26"/>
          <w:szCs w:val="26"/>
        </w:rPr>
      </w:pPr>
      <w:r>
        <w:rPr>
          <w:sz w:val="26"/>
          <w:szCs w:val="26"/>
        </w:rPr>
        <w:t xml:space="preserve">Définir </w:t>
      </w:r>
      <w:r w:rsidR="00106B9C">
        <w:rPr>
          <w:sz w:val="26"/>
          <w:szCs w:val="26"/>
        </w:rPr>
        <w:t xml:space="preserve">une stratégie de campagne pour le financement domestique de la </w:t>
      </w:r>
      <w:r w:rsidR="00E273C8">
        <w:rPr>
          <w:sz w:val="26"/>
          <w:szCs w:val="26"/>
        </w:rPr>
        <w:t xml:space="preserve">santé / </w:t>
      </w:r>
      <w:r w:rsidR="00106B9C">
        <w:rPr>
          <w:sz w:val="26"/>
          <w:szCs w:val="26"/>
        </w:rPr>
        <w:t>nutrition en prenant en compte le contexte actuel de la pandémie à COVID 19 et les contextes particuliers des pays d’AOC</w:t>
      </w:r>
    </w:p>
    <w:p w14:paraId="4161EA19" w14:textId="37BE89AE" w:rsidR="00881216" w:rsidRDefault="00881216" w:rsidP="00881216">
      <w:pPr>
        <w:pStyle w:val="Paragraphedeliste"/>
        <w:numPr>
          <w:ilvl w:val="0"/>
          <w:numId w:val="2"/>
        </w:numPr>
        <w:spacing w:after="0"/>
        <w:jc w:val="both"/>
        <w:rPr>
          <w:sz w:val="26"/>
          <w:szCs w:val="26"/>
        </w:rPr>
      </w:pPr>
      <w:r>
        <w:rPr>
          <w:sz w:val="26"/>
          <w:szCs w:val="26"/>
        </w:rPr>
        <w:t>Proposer en collaboration avec le département de plaidoyer du ROWCA</w:t>
      </w:r>
      <w:r w:rsidR="00727D83">
        <w:rPr>
          <w:sz w:val="26"/>
          <w:szCs w:val="26"/>
        </w:rPr>
        <w:t>, les bureaux ACF à l’</w:t>
      </w:r>
      <w:r w:rsidR="00341218">
        <w:rPr>
          <w:sz w:val="26"/>
          <w:szCs w:val="26"/>
        </w:rPr>
        <w:t>international</w:t>
      </w:r>
      <w:r w:rsidR="00727D83">
        <w:rPr>
          <w:sz w:val="26"/>
          <w:szCs w:val="26"/>
        </w:rPr>
        <w:t xml:space="preserve"> (et notamment les parties prenantes au projet Gates : </w:t>
      </w:r>
      <w:r w:rsidR="00341218">
        <w:rPr>
          <w:sz w:val="26"/>
          <w:szCs w:val="26"/>
        </w:rPr>
        <w:t>Bruxelles, Paris et Madrid</w:t>
      </w:r>
      <w:r w:rsidR="00727D83">
        <w:rPr>
          <w:sz w:val="26"/>
          <w:szCs w:val="26"/>
        </w:rPr>
        <w:t>)</w:t>
      </w:r>
      <w:r>
        <w:rPr>
          <w:sz w:val="26"/>
          <w:szCs w:val="26"/>
        </w:rPr>
        <w:t xml:space="preserve">, les partenaires qui pourraient contribuer à la mise en œuvre et au succès de la campagne </w:t>
      </w:r>
    </w:p>
    <w:p w14:paraId="645E893C" w14:textId="77777777" w:rsidR="005744D6" w:rsidRDefault="00106B9C" w:rsidP="00B813B1">
      <w:pPr>
        <w:pStyle w:val="Paragraphedeliste"/>
        <w:numPr>
          <w:ilvl w:val="0"/>
          <w:numId w:val="2"/>
        </w:numPr>
        <w:spacing w:after="0"/>
        <w:jc w:val="both"/>
        <w:rPr>
          <w:sz w:val="26"/>
          <w:szCs w:val="26"/>
        </w:rPr>
      </w:pPr>
      <w:r>
        <w:rPr>
          <w:sz w:val="26"/>
          <w:szCs w:val="26"/>
        </w:rPr>
        <w:t xml:space="preserve">Proposer un plan opérationnel de campagne </w:t>
      </w:r>
      <w:r w:rsidR="005744D6">
        <w:rPr>
          <w:sz w:val="26"/>
          <w:szCs w:val="26"/>
        </w:rPr>
        <w:t>de communication et plaidoyer avec des acti</w:t>
      </w:r>
      <w:r w:rsidR="00BA3B4F">
        <w:rPr>
          <w:sz w:val="26"/>
          <w:szCs w:val="26"/>
        </w:rPr>
        <w:t>vités</w:t>
      </w:r>
      <w:r w:rsidR="005744D6">
        <w:rPr>
          <w:sz w:val="26"/>
          <w:szCs w:val="26"/>
        </w:rPr>
        <w:t xml:space="preserve"> préparatoires avant le lancement de la campagne, pendant la campagne et après la période intense de campagne ; ainsi qu’un budget </w:t>
      </w:r>
      <w:r w:rsidR="00BA3B4F">
        <w:rPr>
          <w:sz w:val="26"/>
          <w:szCs w:val="26"/>
        </w:rPr>
        <w:t>adapté et un mécanisme de suivi évaluation claire</w:t>
      </w:r>
    </w:p>
    <w:p w14:paraId="19C3BFEE" w14:textId="77777777" w:rsidR="00727D83" w:rsidRDefault="00727D83" w:rsidP="00B813B1">
      <w:pPr>
        <w:pStyle w:val="Paragraphedeliste"/>
        <w:numPr>
          <w:ilvl w:val="0"/>
          <w:numId w:val="2"/>
        </w:numPr>
        <w:spacing w:after="0"/>
        <w:jc w:val="both"/>
        <w:rPr>
          <w:sz w:val="26"/>
          <w:szCs w:val="26"/>
        </w:rPr>
      </w:pPr>
      <w:r>
        <w:rPr>
          <w:sz w:val="26"/>
          <w:szCs w:val="26"/>
        </w:rPr>
        <w:t>Assurer la cohérence et mécanismes de coordination de la campagne définie avec les autres messages/campagnes en cours (notamment campagne santé menée à Paris et Bruxelles)</w:t>
      </w:r>
    </w:p>
    <w:p w14:paraId="05A6CDFA" w14:textId="053663A2" w:rsidR="005744D6" w:rsidRDefault="005744D6" w:rsidP="00B813B1">
      <w:pPr>
        <w:pStyle w:val="Paragraphedeliste"/>
        <w:numPr>
          <w:ilvl w:val="0"/>
          <w:numId w:val="2"/>
        </w:numPr>
        <w:spacing w:after="0"/>
        <w:jc w:val="both"/>
        <w:rPr>
          <w:sz w:val="26"/>
          <w:szCs w:val="26"/>
        </w:rPr>
      </w:pPr>
      <w:r>
        <w:rPr>
          <w:sz w:val="26"/>
          <w:szCs w:val="26"/>
        </w:rPr>
        <w:t xml:space="preserve">Proposer en collaboration avec le département de plaidoyer </w:t>
      </w:r>
      <w:r w:rsidR="00BA3B4F">
        <w:rPr>
          <w:sz w:val="26"/>
          <w:szCs w:val="26"/>
        </w:rPr>
        <w:t xml:space="preserve">ROWCA </w:t>
      </w:r>
      <w:r>
        <w:rPr>
          <w:sz w:val="26"/>
          <w:szCs w:val="26"/>
        </w:rPr>
        <w:t xml:space="preserve">un package de messages/slogans pour les réseaux sociaux (twitter, </w:t>
      </w:r>
      <w:proofErr w:type="spellStart"/>
      <w:r>
        <w:rPr>
          <w:sz w:val="26"/>
          <w:szCs w:val="26"/>
        </w:rPr>
        <w:t>facebook</w:t>
      </w:r>
      <w:proofErr w:type="spellEnd"/>
      <w:r>
        <w:rPr>
          <w:sz w:val="26"/>
          <w:szCs w:val="26"/>
        </w:rPr>
        <w:t>) et autres médias (TV, radio, presse écrite) ainsi que des outils à utiliser pour la campagne (</w:t>
      </w:r>
      <w:r w:rsidR="00BA3B4F">
        <w:rPr>
          <w:sz w:val="26"/>
          <w:szCs w:val="26"/>
        </w:rPr>
        <w:t xml:space="preserve">nom de campagne, </w:t>
      </w:r>
      <w:r>
        <w:rPr>
          <w:sz w:val="26"/>
          <w:szCs w:val="26"/>
        </w:rPr>
        <w:t>logos, charte graphique, kakémono, bandes annonces</w:t>
      </w:r>
      <w:r w:rsidR="00BA3B4F">
        <w:rPr>
          <w:sz w:val="26"/>
          <w:szCs w:val="26"/>
        </w:rPr>
        <w:t>…)</w:t>
      </w:r>
    </w:p>
    <w:p w14:paraId="6B38B25B" w14:textId="25251341" w:rsidR="00B813B1" w:rsidRDefault="00341218" w:rsidP="00E53CC8">
      <w:pPr>
        <w:pStyle w:val="Paragraphedeliste"/>
        <w:numPr>
          <w:ilvl w:val="0"/>
          <w:numId w:val="2"/>
        </w:numPr>
        <w:spacing w:after="0"/>
        <w:jc w:val="both"/>
        <w:rPr>
          <w:sz w:val="26"/>
          <w:szCs w:val="26"/>
        </w:rPr>
      </w:pPr>
      <w:r w:rsidRPr="00D642B1">
        <w:rPr>
          <w:sz w:val="26"/>
          <w:szCs w:val="26"/>
        </w:rPr>
        <w:lastRenderedPageBreak/>
        <w:t>Développer</w:t>
      </w:r>
      <w:r w:rsidR="00BF0078" w:rsidRPr="00D642B1">
        <w:rPr>
          <w:sz w:val="26"/>
          <w:szCs w:val="26"/>
        </w:rPr>
        <w:t xml:space="preserve"> un</w:t>
      </w:r>
      <w:r w:rsidRPr="00D642B1">
        <w:rPr>
          <w:sz w:val="26"/>
          <w:szCs w:val="26"/>
        </w:rPr>
        <w:t>e</w:t>
      </w:r>
      <w:r w:rsidR="00BF0078" w:rsidRPr="00D642B1">
        <w:rPr>
          <w:sz w:val="26"/>
          <w:szCs w:val="26"/>
        </w:rPr>
        <w:t xml:space="preserve"> analyse de l'écosystème digital </w:t>
      </w:r>
      <w:r w:rsidR="00F40FB7" w:rsidRPr="00D642B1">
        <w:rPr>
          <w:sz w:val="26"/>
          <w:szCs w:val="26"/>
        </w:rPr>
        <w:t xml:space="preserve">au niveau </w:t>
      </w:r>
      <w:r w:rsidRPr="00D642B1">
        <w:rPr>
          <w:sz w:val="26"/>
          <w:szCs w:val="26"/>
        </w:rPr>
        <w:t>régional</w:t>
      </w:r>
      <w:r w:rsidR="00BF0078" w:rsidRPr="00D642B1">
        <w:rPr>
          <w:sz w:val="26"/>
          <w:szCs w:val="26"/>
        </w:rPr>
        <w:t xml:space="preserve"> et </w:t>
      </w:r>
      <w:r w:rsidR="00F40FB7" w:rsidRPr="00D642B1">
        <w:rPr>
          <w:sz w:val="26"/>
          <w:szCs w:val="26"/>
        </w:rPr>
        <w:t>au sein de</w:t>
      </w:r>
      <w:r w:rsidR="00BF0078" w:rsidRPr="00D642B1">
        <w:rPr>
          <w:sz w:val="26"/>
          <w:szCs w:val="26"/>
        </w:rPr>
        <w:t xml:space="preserve">s pays pour permettre de </w:t>
      </w:r>
      <w:r w:rsidR="00D642B1" w:rsidRPr="00D642B1">
        <w:rPr>
          <w:sz w:val="26"/>
          <w:szCs w:val="26"/>
        </w:rPr>
        <w:t xml:space="preserve">mettre en place un </w:t>
      </w:r>
      <w:r w:rsidR="00BF0078" w:rsidRPr="00D642B1">
        <w:rPr>
          <w:sz w:val="26"/>
          <w:szCs w:val="26"/>
        </w:rPr>
        <w:t xml:space="preserve">activisme </w:t>
      </w:r>
      <w:r w:rsidR="00D642B1" w:rsidRPr="00D642B1">
        <w:rPr>
          <w:sz w:val="26"/>
          <w:szCs w:val="26"/>
        </w:rPr>
        <w:t>digital sur</w:t>
      </w:r>
      <w:r w:rsidR="00BF0078" w:rsidRPr="00D642B1">
        <w:rPr>
          <w:sz w:val="26"/>
          <w:szCs w:val="26"/>
        </w:rPr>
        <w:t xml:space="preserve"> l’augmentation budgétaire. Ce</w:t>
      </w:r>
      <w:r w:rsidR="00D642B1" w:rsidRPr="00D642B1">
        <w:rPr>
          <w:sz w:val="26"/>
          <w:szCs w:val="26"/>
        </w:rPr>
        <w:t xml:space="preserve">tte analyse devrait prendre en compte </w:t>
      </w:r>
      <w:r w:rsidR="00BF0078" w:rsidRPr="00D642B1">
        <w:rPr>
          <w:sz w:val="26"/>
          <w:szCs w:val="26"/>
        </w:rPr>
        <w:t xml:space="preserve">les </w:t>
      </w:r>
      <w:r w:rsidR="00D642B1" w:rsidRPr="00D642B1">
        <w:rPr>
          <w:sz w:val="26"/>
          <w:szCs w:val="26"/>
        </w:rPr>
        <w:t xml:space="preserve">groupes de citoyens existants, les grands leaders d’opinion dans les pays avec lesquels les activités de la campagne pourraient être réalisées. </w:t>
      </w:r>
      <w:r w:rsidR="00BF0078" w:rsidRPr="00D642B1">
        <w:rPr>
          <w:sz w:val="26"/>
          <w:szCs w:val="26"/>
        </w:rPr>
        <w:t xml:space="preserve"> </w:t>
      </w:r>
    </w:p>
    <w:p w14:paraId="07E212B9" w14:textId="77777777" w:rsidR="00D642B1" w:rsidRPr="00D642B1" w:rsidRDefault="00D642B1" w:rsidP="00D642B1">
      <w:pPr>
        <w:pStyle w:val="Paragraphedeliste"/>
        <w:spacing w:after="0"/>
        <w:ind w:left="360"/>
        <w:jc w:val="both"/>
        <w:rPr>
          <w:sz w:val="26"/>
          <w:szCs w:val="26"/>
        </w:rPr>
      </w:pPr>
    </w:p>
    <w:p w14:paraId="791F3249" w14:textId="77777777" w:rsidR="00B813B1" w:rsidRPr="00D40179" w:rsidRDefault="00B813B1" w:rsidP="00B813B1">
      <w:pPr>
        <w:pStyle w:val="Paragraphedeliste"/>
        <w:numPr>
          <w:ilvl w:val="0"/>
          <w:numId w:val="1"/>
        </w:numPr>
        <w:rPr>
          <w:b/>
          <w:sz w:val="28"/>
          <w:szCs w:val="18"/>
          <w:u w:val="single"/>
        </w:rPr>
      </w:pPr>
      <w:r w:rsidRPr="00D40179">
        <w:rPr>
          <w:b/>
          <w:sz w:val="28"/>
          <w:szCs w:val="18"/>
          <w:u w:val="single"/>
        </w:rPr>
        <w:t>Résultats attendus</w:t>
      </w:r>
    </w:p>
    <w:p w14:paraId="3CD903A5" w14:textId="77777777" w:rsidR="00BA3B4F" w:rsidRDefault="00BA3B4F" w:rsidP="00BA3B4F">
      <w:pPr>
        <w:pStyle w:val="Paragraphedeliste"/>
        <w:numPr>
          <w:ilvl w:val="0"/>
          <w:numId w:val="5"/>
        </w:numPr>
        <w:spacing w:after="0"/>
        <w:jc w:val="both"/>
        <w:rPr>
          <w:sz w:val="26"/>
          <w:szCs w:val="26"/>
        </w:rPr>
      </w:pPr>
      <w:r>
        <w:rPr>
          <w:sz w:val="26"/>
          <w:szCs w:val="26"/>
        </w:rPr>
        <w:t>Une stratég</w:t>
      </w:r>
      <w:r w:rsidRPr="00BA3B4F">
        <w:rPr>
          <w:sz w:val="26"/>
          <w:szCs w:val="26"/>
        </w:rPr>
        <w:t xml:space="preserve">ie de campagne pour le financement domestique de la </w:t>
      </w:r>
      <w:r w:rsidR="00E273C8">
        <w:rPr>
          <w:sz w:val="26"/>
          <w:szCs w:val="26"/>
        </w:rPr>
        <w:t xml:space="preserve">santé / </w:t>
      </w:r>
      <w:r w:rsidRPr="00BA3B4F">
        <w:rPr>
          <w:sz w:val="26"/>
          <w:szCs w:val="26"/>
        </w:rPr>
        <w:t xml:space="preserve">nutrition </w:t>
      </w:r>
      <w:r>
        <w:rPr>
          <w:sz w:val="26"/>
          <w:szCs w:val="26"/>
        </w:rPr>
        <w:t>est définie</w:t>
      </w:r>
    </w:p>
    <w:p w14:paraId="6C6DA4C9" w14:textId="77777777" w:rsidR="006E3D51" w:rsidRDefault="006E3D51" w:rsidP="006E3D51">
      <w:pPr>
        <w:pStyle w:val="Paragraphedeliste"/>
        <w:numPr>
          <w:ilvl w:val="0"/>
          <w:numId w:val="5"/>
        </w:numPr>
        <w:spacing w:after="0"/>
        <w:jc w:val="both"/>
        <w:rPr>
          <w:sz w:val="26"/>
          <w:szCs w:val="26"/>
        </w:rPr>
      </w:pPr>
      <w:r w:rsidRPr="00BA3B4F">
        <w:rPr>
          <w:sz w:val="26"/>
          <w:szCs w:val="26"/>
        </w:rPr>
        <w:t xml:space="preserve">Des partenaires susceptibles de soutenir la campagne sont identifiés et mobilisés </w:t>
      </w:r>
    </w:p>
    <w:p w14:paraId="455796AD" w14:textId="77777777" w:rsidR="00BA3B4F" w:rsidRDefault="00BA3B4F" w:rsidP="00BA3B4F">
      <w:pPr>
        <w:pStyle w:val="Paragraphedeliste"/>
        <w:numPr>
          <w:ilvl w:val="0"/>
          <w:numId w:val="5"/>
        </w:numPr>
        <w:spacing w:after="0"/>
        <w:jc w:val="both"/>
        <w:rPr>
          <w:sz w:val="26"/>
          <w:szCs w:val="26"/>
        </w:rPr>
      </w:pPr>
      <w:r>
        <w:rPr>
          <w:sz w:val="26"/>
          <w:szCs w:val="26"/>
        </w:rPr>
        <w:t>U</w:t>
      </w:r>
      <w:r w:rsidRPr="00BA3B4F">
        <w:rPr>
          <w:sz w:val="26"/>
          <w:szCs w:val="26"/>
        </w:rPr>
        <w:t xml:space="preserve">n plan opérationnel de campagne </w:t>
      </w:r>
      <w:r>
        <w:rPr>
          <w:sz w:val="26"/>
          <w:szCs w:val="26"/>
        </w:rPr>
        <w:t>comprenant des activités</w:t>
      </w:r>
      <w:r w:rsidRPr="00BA3B4F">
        <w:rPr>
          <w:sz w:val="26"/>
          <w:szCs w:val="26"/>
        </w:rPr>
        <w:t xml:space="preserve"> préparatoires avant le lancement de la campagne, pendant la campagne et après la période intense de campagne ; ainsi qu’un budget adapté et un mécanisme de suivi évaluation claire</w:t>
      </w:r>
      <w:r>
        <w:rPr>
          <w:sz w:val="26"/>
          <w:szCs w:val="26"/>
        </w:rPr>
        <w:t xml:space="preserve"> sont disponibles</w:t>
      </w:r>
    </w:p>
    <w:p w14:paraId="4C3C34CD" w14:textId="24A92DA7" w:rsidR="00BA3B4F" w:rsidRDefault="00BA3B4F" w:rsidP="00BA3B4F">
      <w:pPr>
        <w:pStyle w:val="Paragraphedeliste"/>
        <w:numPr>
          <w:ilvl w:val="0"/>
          <w:numId w:val="5"/>
        </w:numPr>
        <w:spacing w:after="0"/>
        <w:jc w:val="both"/>
        <w:rPr>
          <w:sz w:val="26"/>
          <w:szCs w:val="26"/>
        </w:rPr>
      </w:pPr>
      <w:r>
        <w:rPr>
          <w:sz w:val="26"/>
          <w:szCs w:val="26"/>
        </w:rPr>
        <w:t>U</w:t>
      </w:r>
      <w:r w:rsidRPr="00BA3B4F">
        <w:rPr>
          <w:sz w:val="26"/>
          <w:szCs w:val="26"/>
        </w:rPr>
        <w:t xml:space="preserve">n package de messages/slogans ainsi que des outils à utiliser pour la campagne </w:t>
      </w:r>
      <w:r>
        <w:rPr>
          <w:sz w:val="26"/>
          <w:szCs w:val="26"/>
        </w:rPr>
        <w:t>sont disponibles</w:t>
      </w:r>
      <w:r w:rsidR="00727D83">
        <w:rPr>
          <w:sz w:val="26"/>
          <w:szCs w:val="26"/>
        </w:rPr>
        <w:t xml:space="preserve"> et en cohérence avec les différentes campagnes ACF.</w:t>
      </w:r>
    </w:p>
    <w:p w14:paraId="09491AB7" w14:textId="30CD31A1" w:rsidR="005F454C" w:rsidRDefault="005F454C" w:rsidP="00BA3B4F">
      <w:pPr>
        <w:pStyle w:val="Paragraphedeliste"/>
        <w:numPr>
          <w:ilvl w:val="0"/>
          <w:numId w:val="5"/>
        </w:numPr>
        <w:spacing w:after="0"/>
        <w:jc w:val="both"/>
        <w:rPr>
          <w:sz w:val="26"/>
          <w:szCs w:val="26"/>
        </w:rPr>
      </w:pPr>
      <w:r>
        <w:rPr>
          <w:sz w:val="26"/>
          <w:szCs w:val="26"/>
        </w:rPr>
        <w:t xml:space="preserve">Un mapping </w:t>
      </w:r>
      <w:r w:rsidR="00D642B1">
        <w:rPr>
          <w:sz w:val="26"/>
          <w:szCs w:val="26"/>
        </w:rPr>
        <w:t>des groupes d’activistes sur le</w:t>
      </w:r>
      <w:r>
        <w:rPr>
          <w:sz w:val="26"/>
          <w:szCs w:val="26"/>
        </w:rPr>
        <w:t xml:space="preserve"> digital </w:t>
      </w:r>
      <w:r w:rsidR="00D642B1">
        <w:rPr>
          <w:sz w:val="26"/>
          <w:szCs w:val="26"/>
        </w:rPr>
        <w:t xml:space="preserve">avec une analyse et des recommandations d’alliance est réalisée </w:t>
      </w:r>
    </w:p>
    <w:p w14:paraId="3CC28107" w14:textId="77777777" w:rsidR="00BA3B4F" w:rsidRPr="00D40179" w:rsidRDefault="00BA3B4F" w:rsidP="00BA3B4F">
      <w:pPr>
        <w:pStyle w:val="Paragraphedeliste"/>
        <w:spacing w:after="0"/>
        <w:ind w:left="502"/>
        <w:jc w:val="both"/>
        <w:rPr>
          <w:sz w:val="26"/>
          <w:szCs w:val="26"/>
        </w:rPr>
      </w:pPr>
    </w:p>
    <w:p w14:paraId="0CDCBA3F" w14:textId="77777777" w:rsidR="00B813B1" w:rsidRPr="00D40179" w:rsidRDefault="00B813B1" w:rsidP="00B813B1">
      <w:pPr>
        <w:pStyle w:val="Paragraphedeliste"/>
        <w:numPr>
          <w:ilvl w:val="0"/>
          <w:numId w:val="1"/>
        </w:numPr>
        <w:rPr>
          <w:b/>
          <w:sz w:val="28"/>
          <w:szCs w:val="18"/>
          <w:u w:val="single"/>
        </w:rPr>
      </w:pPr>
      <w:r w:rsidRPr="00D40179">
        <w:rPr>
          <w:b/>
          <w:sz w:val="28"/>
          <w:szCs w:val="18"/>
          <w:u w:val="single"/>
        </w:rPr>
        <w:t>Mission du consultant</w:t>
      </w:r>
    </w:p>
    <w:p w14:paraId="0AE1A80E" w14:textId="77777777" w:rsidR="00BA3B4F" w:rsidRDefault="00B813B1" w:rsidP="00B813B1">
      <w:pPr>
        <w:pStyle w:val="Paragraphedeliste"/>
        <w:numPr>
          <w:ilvl w:val="0"/>
          <w:numId w:val="4"/>
        </w:numPr>
        <w:spacing w:after="0" w:line="240" w:lineRule="auto"/>
        <w:ind w:left="284" w:hanging="284"/>
        <w:jc w:val="both"/>
        <w:rPr>
          <w:sz w:val="26"/>
          <w:szCs w:val="26"/>
        </w:rPr>
      </w:pPr>
      <w:r w:rsidRPr="00057453">
        <w:rPr>
          <w:sz w:val="26"/>
          <w:szCs w:val="26"/>
        </w:rPr>
        <w:t>Réaliser une revue documentaire</w:t>
      </w:r>
      <w:r w:rsidR="00E22813">
        <w:rPr>
          <w:sz w:val="26"/>
          <w:szCs w:val="26"/>
        </w:rPr>
        <w:t xml:space="preserve">, </w:t>
      </w:r>
      <w:r w:rsidRPr="00057453">
        <w:rPr>
          <w:sz w:val="26"/>
          <w:szCs w:val="26"/>
        </w:rPr>
        <w:t xml:space="preserve">collecter les informations pertinentes </w:t>
      </w:r>
      <w:r w:rsidR="00BA3B4F">
        <w:rPr>
          <w:sz w:val="26"/>
          <w:szCs w:val="26"/>
        </w:rPr>
        <w:t xml:space="preserve">et utiles pour l’élaboration de la stratégie de la campagne pour le financement domestique de la </w:t>
      </w:r>
      <w:r w:rsidR="00E273C8">
        <w:rPr>
          <w:sz w:val="26"/>
          <w:szCs w:val="26"/>
        </w:rPr>
        <w:t xml:space="preserve">santé / </w:t>
      </w:r>
      <w:r w:rsidR="00BA3B4F">
        <w:rPr>
          <w:sz w:val="26"/>
          <w:szCs w:val="26"/>
        </w:rPr>
        <w:t xml:space="preserve">nutrition </w:t>
      </w:r>
    </w:p>
    <w:p w14:paraId="0DF8D829" w14:textId="77777777" w:rsidR="00B813B1" w:rsidRDefault="00B813B1" w:rsidP="00B813B1">
      <w:pPr>
        <w:pStyle w:val="Paragraphedeliste"/>
        <w:numPr>
          <w:ilvl w:val="0"/>
          <w:numId w:val="4"/>
        </w:numPr>
        <w:spacing w:after="0" w:line="240" w:lineRule="auto"/>
        <w:ind w:left="284" w:hanging="284"/>
        <w:jc w:val="both"/>
        <w:rPr>
          <w:sz w:val="26"/>
          <w:szCs w:val="26"/>
        </w:rPr>
      </w:pPr>
      <w:r w:rsidRPr="00057453">
        <w:rPr>
          <w:sz w:val="26"/>
          <w:szCs w:val="26"/>
        </w:rPr>
        <w:t xml:space="preserve">Réaliser les entretiens jugés pertinents avec des acteurs clés dans certains pays pour compléter la revue documentaire </w:t>
      </w:r>
      <w:r w:rsidR="00E22813">
        <w:rPr>
          <w:sz w:val="26"/>
          <w:szCs w:val="26"/>
        </w:rPr>
        <w:t>et s’inspirer de campagnes similaires réalisées en Asie et en Afrique de l’Est et du Sud</w:t>
      </w:r>
    </w:p>
    <w:p w14:paraId="1E8963C7" w14:textId="2EFAAD03" w:rsidR="00E22813" w:rsidRDefault="00E22813" w:rsidP="00B813B1">
      <w:pPr>
        <w:pStyle w:val="Paragraphedeliste"/>
        <w:numPr>
          <w:ilvl w:val="0"/>
          <w:numId w:val="4"/>
        </w:numPr>
        <w:spacing w:after="0" w:line="240" w:lineRule="auto"/>
        <w:ind w:left="284" w:hanging="284"/>
        <w:jc w:val="both"/>
        <w:rPr>
          <w:sz w:val="26"/>
          <w:szCs w:val="26"/>
        </w:rPr>
      </w:pPr>
      <w:r>
        <w:rPr>
          <w:sz w:val="26"/>
          <w:szCs w:val="26"/>
        </w:rPr>
        <w:t>Rédigez le document de stratégie de la campagne</w:t>
      </w:r>
      <w:r w:rsidR="001D5753">
        <w:rPr>
          <w:sz w:val="26"/>
          <w:szCs w:val="26"/>
        </w:rPr>
        <w:t xml:space="preserve"> (incluant activisme digital)</w:t>
      </w:r>
      <w:r>
        <w:rPr>
          <w:sz w:val="26"/>
          <w:szCs w:val="26"/>
        </w:rPr>
        <w:t xml:space="preserve"> en faveur d’un financement domestique de la </w:t>
      </w:r>
      <w:r w:rsidR="00E273C8">
        <w:rPr>
          <w:sz w:val="26"/>
          <w:szCs w:val="26"/>
        </w:rPr>
        <w:t xml:space="preserve">santé / </w:t>
      </w:r>
      <w:r>
        <w:rPr>
          <w:sz w:val="26"/>
          <w:szCs w:val="26"/>
        </w:rPr>
        <w:t>nutrition et le faire valider par l’équipe de plaidoyer du ROWCA</w:t>
      </w:r>
    </w:p>
    <w:p w14:paraId="17C59CB1" w14:textId="77777777" w:rsidR="00E22813" w:rsidRPr="00E22813" w:rsidRDefault="00E22813" w:rsidP="00E22813">
      <w:pPr>
        <w:pStyle w:val="Paragraphedeliste"/>
        <w:numPr>
          <w:ilvl w:val="0"/>
          <w:numId w:val="4"/>
        </w:numPr>
        <w:spacing w:after="0" w:line="240" w:lineRule="auto"/>
        <w:ind w:left="284" w:hanging="284"/>
        <w:jc w:val="both"/>
        <w:rPr>
          <w:sz w:val="26"/>
          <w:szCs w:val="26"/>
        </w:rPr>
      </w:pPr>
      <w:r>
        <w:rPr>
          <w:sz w:val="26"/>
          <w:szCs w:val="26"/>
        </w:rPr>
        <w:t>Organiser les réunions virtuelles avec l’ensemble des acteurs/partenaires pouvant contribuer à la campagne pour obtenir leurs avis sur les propositions de stratégie</w:t>
      </w:r>
    </w:p>
    <w:p w14:paraId="1318EC26" w14:textId="77777777" w:rsidR="00E22813" w:rsidRDefault="00B813B1" w:rsidP="00E22813">
      <w:pPr>
        <w:pStyle w:val="Paragraphedeliste"/>
        <w:numPr>
          <w:ilvl w:val="0"/>
          <w:numId w:val="4"/>
        </w:numPr>
        <w:spacing w:after="0" w:line="240" w:lineRule="auto"/>
        <w:ind w:left="284" w:hanging="284"/>
        <w:jc w:val="both"/>
        <w:rPr>
          <w:sz w:val="26"/>
          <w:szCs w:val="26"/>
        </w:rPr>
      </w:pPr>
      <w:r w:rsidRPr="00057453">
        <w:rPr>
          <w:sz w:val="26"/>
          <w:szCs w:val="26"/>
        </w:rPr>
        <w:t>Développer un</w:t>
      </w:r>
      <w:r w:rsidR="00E22813">
        <w:rPr>
          <w:sz w:val="26"/>
          <w:szCs w:val="26"/>
        </w:rPr>
        <w:t xml:space="preserve"> plan opérationnel clair (accompagné de budget et de mécanisme de suivi évaluation en collaboration avec le département plaidoyer du ROWCA </w:t>
      </w:r>
    </w:p>
    <w:p w14:paraId="3E2829F9" w14:textId="5D683D34" w:rsidR="00E22813" w:rsidRDefault="00E22813" w:rsidP="00E22813">
      <w:pPr>
        <w:pStyle w:val="Paragraphedeliste"/>
        <w:numPr>
          <w:ilvl w:val="0"/>
          <w:numId w:val="4"/>
        </w:numPr>
        <w:spacing w:after="0" w:line="240" w:lineRule="auto"/>
        <w:ind w:left="284" w:hanging="284"/>
        <w:jc w:val="both"/>
        <w:rPr>
          <w:sz w:val="26"/>
          <w:szCs w:val="26"/>
        </w:rPr>
      </w:pPr>
      <w:r w:rsidRPr="00E22813">
        <w:rPr>
          <w:sz w:val="26"/>
          <w:szCs w:val="26"/>
        </w:rPr>
        <w:t xml:space="preserve">Proposer </w:t>
      </w:r>
      <w:r>
        <w:rPr>
          <w:sz w:val="26"/>
          <w:szCs w:val="26"/>
        </w:rPr>
        <w:t>et faire valider u</w:t>
      </w:r>
      <w:r w:rsidRPr="00E22813">
        <w:rPr>
          <w:sz w:val="26"/>
          <w:szCs w:val="26"/>
        </w:rPr>
        <w:t xml:space="preserve">n package de messages/slogans ainsi que des outils à utiliser pour la campagne </w:t>
      </w:r>
    </w:p>
    <w:p w14:paraId="25DF09D4" w14:textId="4C928C94" w:rsidR="00B813B1" w:rsidRPr="00404439" w:rsidRDefault="002E7951" w:rsidP="00B41B24">
      <w:pPr>
        <w:pStyle w:val="Paragraphedeliste"/>
        <w:numPr>
          <w:ilvl w:val="0"/>
          <w:numId w:val="4"/>
        </w:numPr>
        <w:spacing w:after="0" w:line="240" w:lineRule="auto"/>
        <w:ind w:left="284" w:hanging="284"/>
        <w:jc w:val="both"/>
        <w:rPr>
          <w:sz w:val="44"/>
        </w:rPr>
      </w:pPr>
      <w:r w:rsidRPr="00404439">
        <w:rPr>
          <w:sz w:val="26"/>
          <w:szCs w:val="26"/>
        </w:rPr>
        <w:t xml:space="preserve">Rédiger </w:t>
      </w:r>
      <w:r w:rsidR="002A5AD3" w:rsidRPr="00404439">
        <w:rPr>
          <w:sz w:val="26"/>
          <w:szCs w:val="26"/>
        </w:rPr>
        <w:t>un</w:t>
      </w:r>
      <w:r w:rsidR="00404439" w:rsidRPr="00404439">
        <w:rPr>
          <w:sz w:val="26"/>
          <w:szCs w:val="26"/>
        </w:rPr>
        <w:t xml:space="preserve"> mapping </w:t>
      </w:r>
      <w:r w:rsidR="002A5AD3" w:rsidRPr="00404439">
        <w:rPr>
          <w:sz w:val="26"/>
          <w:szCs w:val="26"/>
        </w:rPr>
        <w:t>des plateforme</w:t>
      </w:r>
      <w:r w:rsidR="00404439" w:rsidRPr="00404439">
        <w:rPr>
          <w:sz w:val="26"/>
          <w:szCs w:val="26"/>
        </w:rPr>
        <w:t>/Groupes de citoyens ayant une expérience</w:t>
      </w:r>
      <w:r w:rsidR="002A5AD3" w:rsidRPr="00404439">
        <w:rPr>
          <w:sz w:val="26"/>
          <w:szCs w:val="26"/>
        </w:rPr>
        <w:t xml:space="preserve"> d’activisme digital dans la </w:t>
      </w:r>
      <w:r w:rsidR="00404439" w:rsidRPr="00404439">
        <w:rPr>
          <w:sz w:val="26"/>
          <w:szCs w:val="26"/>
        </w:rPr>
        <w:t>région</w:t>
      </w:r>
      <w:r w:rsidR="002A5AD3" w:rsidRPr="00404439">
        <w:rPr>
          <w:sz w:val="26"/>
          <w:szCs w:val="26"/>
        </w:rPr>
        <w:t xml:space="preserve"> et les pays </w:t>
      </w:r>
      <w:r w:rsidR="00404439">
        <w:rPr>
          <w:sz w:val="26"/>
          <w:szCs w:val="26"/>
        </w:rPr>
        <w:t>couverts par le ROWCA</w:t>
      </w:r>
    </w:p>
    <w:p w14:paraId="7302C32F" w14:textId="77777777" w:rsidR="00404439" w:rsidRPr="00404439" w:rsidRDefault="00404439" w:rsidP="00404439">
      <w:pPr>
        <w:pStyle w:val="Paragraphedeliste"/>
        <w:spacing w:after="0" w:line="240" w:lineRule="auto"/>
        <w:ind w:left="284"/>
        <w:jc w:val="both"/>
        <w:rPr>
          <w:sz w:val="44"/>
        </w:rPr>
      </w:pPr>
    </w:p>
    <w:p w14:paraId="7888D1B8" w14:textId="77777777" w:rsidR="00B813B1" w:rsidRPr="00057453" w:rsidRDefault="00B813B1" w:rsidP="00B813B1">
      <w:pPr>
        <w:pStyle w:val="Paragraphedeliste"/>
        <w:numPr>
          <w:ilvl w:val="0"/>
          <w:numId w:val="1"/>
        </w:numPr>
        <w:rPr>
          <w:b/>
          <w:sz w:val="28"/>
          <w:szCs w:val="18"/>
          <w:u w:val="single"/>
        </w:rPr>
      </w:pPr>
      <w:r w:rsidRPr="00057453">
        <w:rPr>
          <w:b/>
          <w:sz w:val="28"/>
          <w:szCs w:val="18"/>
          <w:u w:val="single"/>
        </w:rPr>
        <w:lastRenderedPageBreak/>
        <w:t>Profil du consultant</w:t>
      </w:r>
    </w:p>
    <w:p w14:paraId="33E27987" w14:textId="77777777" w:rsidR="00B813B1" w:rsidRPr="00057453" w:rsidRDefault="00B813B1" w:rsidP="00B813B1">
      <w:pPr>
        <w:pStyle w:val="Paragraphedeliste"/>
        <w:numPr>
          <w:ilvl w:val="0"/>
          <w:numId w:val="4"/>
        </w:numPr>
        <w:spacing w:after="0" w:line="240" w:lineRule="auto"/>
        <w:ind w:left="284" w:hanging="284"/>
        <w:jc w:val="both"/>
        <w:rPr>
          <w:sz w:val="26"/>
          <w:szCs w:val="26"/>
        </w:rPr>
      </w:pPr>
      <w:r w:rsidRPr="00057453">
        <w:rPr>
          <w:sz w:val="26"/>
          <w:szCs w:val="26"/>
        </w:rPr>
        <w:t xml:space="preserve">Formation technique en santé publique, </w:t>
      </w:r>
      <w:r w:rsidR="00E273C8">
        <w:rPr>
          <w:sz w:val="26"/>
          <w:szCs w:val="26"/>
        </w:rPr>
        <w:t xml:space="preserve">santé / </w:t>
      </w:r>
      <w:r w:rsidRPr="00057453">
        <w:rPr>
          <w:sz w:val="26"/>
          <w:szCs w:val="26"/>
        </w:rPr>
        <w:t xml:space="preserve">nutrition, développement, sciences politiques, juridiques, </w:t>
      </w:r>
      <w:r w:rsidR="00144400">
        <w:rPr>
          <w:sz w:val="26"/>
          <w:szCs w:val="26"/>
        </w:rPr>
        <w:t xml:space="preserve">économiques, </w:t>
      </w:r>
      <w:r w:rsidRPr="00057453">
        <w:rPr>
          <w:sz w:val="26"/>
          <w:szCs w:val="26"/>
        </w:rPr>
        <w:t xml:space="preserve">sciences humaines et sociales </w:t>
      </w:r>
    </w:p>
    <w:p w14:paraId="125D0949" w14:textId="6737A956" w:rsidR="00B813B1" w:rsidRPr="00057453" w:rsidRDefault="00B813B1" w:rsidP="00B813B1">
      <w:pPr>
        <w:pStyle w:val="Paragraphedeliste"/>
        <w:numPr>
          <w:ilvl w:val="0"/>
          <w:numId w:val="4"/>
        </w:numPr>
        <w:spacing w:after="0" w:line="240" w:lineRule="auto"/>
        <w:ind w:left="284" w:hanging="284"/>
        <w:jc w:val="both"/>
        <w:rPr>
          <w:sz w:val="26"/>
          <w:szCs w:val="26"/>
        </w:rPr>
      </w:pPr>
      <w:r w:rsidRPr="00057453">
        <w:rPr>
          <w:sz w:val="26"/>
          <w:szCs w:val="26"/>
        </w:rPr>
        <w:t xml:space="preserve">Expérience confirmée dans la conduite de </w:t>
      </w:r>
      <w:r w:rsidR="00DE42E6">
        <w:rPr>
          <w:sz w:val="26"/>
          <w:szCs w:val="26"/>
        </w:rPr>
        <w:t>campagne de communication/plaidoyer</w:t>
      </w:r>
      <w:r w:rsidRPr="00057453">
        <w:rPr>
          <w:sz w:val="26"/>
          <w:szCs w:val="26"/>
        </w:rPr>
        <w:t xml:space="preserve"> </w:t>
      </w:r>
      <w:r w:rsidR="002E7951">
        <w:rPr>
          <w:sz w:val="26"/>
          <w:szCs w:val="26"/>
        </w:rPr>
        <w:t>et activisme digital</w:t>
      </w:r>
    </w:p>
    <w:p w14:paraId="1639F5D0" w14:textId="77777777" w:rsidR="00B813B1" w:rsidRPr="00057453" w:rsidRDefault="00B813B1" w:rsidP="00B813B1">
      <w:pPr>
        <w:pStyle w:val="Paragraphedeliste"/>
        <w:numPr>
          <w:ilvl w:val="0"/>
          <w:numId w:val="4"/>
        </w:numPr>
        <w:spacing w:after="0" w:line="240" w:lineRule="auto"/>
        <w:ind w:left="284" w:hanging="284"/>
        <w:jc w:val="both"/>
        <w:rPr>
          <w:sz w:val="26"/>
          <w:szCs w:val="26"/>
        </w:rPr>
      </w:pPr>
      <w:r w:rsidRPr="00057453">
        <w:rPr>
          <w:sz w:val="26"/>
          <w:szCs w:val="26"/>
        </w:rPr>
        <w:t xml:space="preserve">Compréhension approfondie des problématiques liées à la santé et à la </w:t>
      </w:r>
      <w:r w:rsidR="00E273C8">
        <w:rPr>
          <w:sz w:val="26"/>
          <w:szCs w:val="26"/>
        </w:rPr>
        <w:t xml:space="preserve">santé / </w:t>
      </w:r>
      <w:r w:rsidRPr="00057453">
        <w:rPr>
          <w:sz w:val="26"/>
          <w:szCs w:val="26"/>
        </w:rPr>
        <w:t>nutrition dans la région Afrique</w:t>
      </w:r>
      <w:r w:rsidR="00DE42E6">
        <w:rPr>
          <w:sz w:val="26"/>
          <w:szCs w:val="26"/>
        </w:rPr>
        <w:t xml:space="preserve"> de l’Ouest et du centre</w:t>
      </w:r>
    </w:p>
    <w:p w14:paraId="4897DA32" w14:textId="77777777" w:rsidR="00B813B1" w:rsidRPr="00057453" w:rsidRDefault="00B813B1" w:rsidP="00B813B1">
      <w:pPr>
        <w:pStyle w:val="Paragraphedeliste"/>
        <w:numPr>
          <w:ilvl w:val="0"/>
          <w:numId w:val="4"/>
        </w:numPr>
        <w:spacing w:after="0" w:line="240" w:lineRule="auto"/>
        <w:ind w:left="284" w:hanging="284"/>
        <w:jc w:val="both"/>
        <w:rPr>
          <w:sz w:val="26"/>
          <w:szCs w:val="26"/>
        </w:rPr>
      </w:pPr>
      <w:r w:rsidRPr="00057453">
        <w:rPr>
          <w:sz w:val="26"/>
          <w:szCs w:val="26"/>
        </w:rPr>
        <w:t>Une expérience confirmée en ONG</w:t>
      </w:r>
    </w:p>
    <w:p w14:paraId="049A7B65" w14:textId="77777777" w:rsidR="00B813B1" w:rsidRPr="00057453" w:rsidRDefault="00B813B1" w:rsidP="00B813B1">
      <w:pPr>
        <w:pStyle w:val="Paragraphedeliste"/>
        <w:numPr>
          <w:ilvl w:val="0"/>
          <w:numId w:val="4"/>
        </w:numPr>
        <w:spacing w:after="0" w:line="240" w:lineRule="auto"/>
        <w:ind w:left="284" w:hanging="284"/>
        <w:jc w:val="both"/>
        <w:rPr>
          <w:sz w:val="26"/>
          <w:szCs w:val="26"/>
        </w:rPr>
      </w:pPr>
      <w:r w:rsidRPr="00057453">
        <w:rPr>
          <w:sz w:val="26"/>
          <w:szCs w:val="26"/>
        </w:rPr>
        <w:t>Capacité confirmée à présenter des documents écrits clairs, concis et d’une manière convaincante à destination d’un public diversifié</w:t>
      </w:r>
    </w:p>
    <w:p w14:paraId="357C9341" w14:textId="77777777" w:rsidR="00B813B1" w:rsidRPr="00057453" w:rsidRDefault="00B813B1" w:rsidP="00B813B1">
      <w:pPr>
        <w:pStyle w:val="Paragraphedeliste"/>
        <w:numPr>
          <w:ilvl w:val="0"/>
          <w:numId w:val="4"/>
        </w:numPr>
        <w:spacing w:after="0" w:line="240" w:lineRule="auto"/>
        <w:ind w:left="284" w:hanging="284"/>
        <w:jc w:val="both"/>
        <w:rPr>
          <w:sz w:val="26"/>
          <w:szCs w:val="26"/>
        </w:rPr>
      </w:pPr>
      <w:r w:rsidRPr="00057453">
        <w:rPr>
          <w:sz w:val="26"/>
          <w:szCs w:val="26"/>
        </w:rPr>
        <w:t xml:space="preserve">Excellentes capacités </w:t>
      </w:r>
      <w:r w:rsidR="00DE42E6">
        <w:rPr>
          <w:sz w:val="26"/>
          <w:szCs w:val="26"/>
        </w:rPr>
        <w:t>de rédaction, de communication et d’analyses</w:t>
      </w:r>
    </w:p>
    <w:p w14:paraId="0729FBFC" w14:textId="77777777" w:rsidR="00B813B1" w:rsidRDefault="00B813B1" w:rsidP="00B813B1">
      <w:pPr>
        <w:pStyle w:val="Paragraphedeliste"/>
        <w:numPr>
          <w:ilvl w:val="0"/>
          <w:numId w:val="4"/>
        </w:numPr>
        <w:spacing w:after="0" w:line="240" w:lineRule="auto"/>
        <w:ind w:left="284" w:hanging="284"/>
        <w:jc w:val="both"/>
        <w:rPr>
          <w:sz w:val="26"/>
          <w:szCs w:val="26"/>
        </w:rPr>
      </w:pPr>
      <w:r w:rsidRPr="00057453">
        <w:rPr>
          <w:sz w:val="26"/>
          <w:szCs w:val="26"/>
        </w:rPr>
        <w:t>Esprit d’initiative et capacité à travailler de manière autonome au sein d’équipes multiculturelles</w:t>
      </w:r>
    </w:p>
    <w:p w14:paraId="70B49E14" w14:textId="77777777" w:rsidR="00D90628" w:rsidRPr="00057453" w:rsidRDefault="00D90628" w:rsidP="00B813B1">
      <w:pPr>
        <w:pStyle w:val="Paragraphedeliste"/>
        <w:numPr>
          <w:ilvl w:val="0"/>
          <w:numId w:val="4"/>
        </w:numPr>
        <w:spacing w:after="0" w:line="240" w:lineRule="auto"/>
        <w:ind w:left="284" w:hanging="284"/>
        <w:jc w:val="both"/>
        <w:rPr>
          <w:sz w:val="26"/>
          <w:szCs w:val="26"/>
        </w:rPr>
      </w:pPr>
      <w:r>
        <w:rPr>
          <w:sz w:val="26"/>
          <w:szCs w:val="26"/>
        </w:rPr>
        <w:t>Maitrise de l’anglais (avantage)</w:t>
      </w:r>
    </w:p>
    <w:p w14:paraId="5C21538F" w14:textId="77777777" w:rsidR="00B813B1" w:rsidRDefault="00B813B1" w:rsidP="00B813B1">
      <w:pPr>
        <w:pStyle w:val="Paragraphedeliste"/>
        <w:spacing w:after="0" w:line="240" w:lineRule="auto"/>
        <w:ind w:left="284"/>
        <w:jc w:val="both"/>
        <w:rPr>
          <w:sz w:val="28"/>
        </w:rPr>
      </w:pPr>
    </w:p>
    <w:p w14:paraId="058F7D2E" w14:textId="77777777" w:rsidR="00B813B1" w:rsidRPr="00057453" w:rsidRDefault="00B813B1" w:rsidP="00B813B1">
      <w:pPr>
        <w:pStyle w:val="Paragraphedeliste"/>
        <w:numPr>
          <w:ilvl w:val="0"/>
          <w:numId w:val="1"/>
        </w:numPr>
        <w:rPr>
          <w:b/>
          <w:sz w:val="28"/>
          <w:szCs w:val="18"/>
          <w:u w:val="single"/>
        </w:rPr>
      </w:pPr>
      <w:r w:rsidRPr="00057453">
        <w:rPr>
          <w:b/>
          <w:sz w:val="28"/>
          <w:szCs w:val="18"/>
          <w:u w:val="single"/>
        </w:rPr>
        <w:t>Lieu</w:t>
      </w:r>
      <w:r w:rsidR="00466113">
        <w:rPr>
          <w:b/>
          <w:sz w:val="28"/>
          <w:szCs w:val="18"/>
          <w:u w:val="single"/>
        </w:rPr>
        <w:t xml:space="preserve">, </w:t>
      </w:r>
      <w:r w:rsidRPr="00057453">
        <w:rPr>
          <w:b/>
          <w:sz w:val="28"/>
          <w:szCs w:val="18"/>
          <w:u w:val="single"/>
        </w:rPr>
        <w:t>durée</w:t>
      </w:r>
      <w:r w:rsidR="00466113">
        <w:rPr>
          <w:b/>
          <w:sz w:val="28"/>
          <w:szCs w:val="18"/>
          <w:u w:val="single"/>
        </w:rPr>
        <w:t xml:space="preserve"> et conditions</w:t>
      </w:r>
      <w:r w:rsidRPr="00057453">
        <w:rPr>
          <w:b/>
          <w:sz w:val="28"/>
          <w:szCs w:val="18"/>
          <w:u w:val="single"/>
        </w:rPr>
        <w:t xml:space="preserve"> de la mission</w:t>
      </w:r>
    </w:p>
    <w:p w14:paraId="6CC1F439" w14:textId="6E3C8403" w:rsidR="00D90628" w:rsidRPr="00466113" w:rsidRDefault="00B813B1" w:rsidP="00466113">
      <w:pPr>
        <w:pStyle w:val="Paragraphedeliste"/>
        <w:numPr>
          <w:ilvl w:val="0"/>
          <w:numId w:val="4"/>
        </w:numPr>
        <w:spacing w:after="0" w:line="240" w:lineRule="auto"/>
        <w:ind w:left="284" w:hanging="284"/>
        <w:jc w:val="both"/>
        <w:rPr>
          <w:sz w:val="26"/>
          <w:szCs w:val="26"/>
        </w:rPr>
      </w:pPr>
      <w:r w:rsidRPr="00057453">
        <w:rPr>
          <w:sz w:val="26"/>
          <w:szCs w:val="26"/>
        </w:rPr>
        <w:t xml:space="preserve">La mission du consultant est gérée sous un contrat avec le bureau régional d’Action Contre la Faim basé au Sénégal. </w:t>
      </w:r>
      <w:r w:rsidR="00DE42E6">
        <w:rPr>
          <w:sz w:val="26"/>
          <w:szCs w:val="26"/>
        </w:rPr>
        <w:t>Elle est sup</w:t>
      </w:r>
      <w:r w:rsidRPr="00057453">
        <w:rPr>
          <w:sz w:val="26"/>
          <w:szCs w:val="26"/>
        </w:rPr>
        <w:t>ervisée par l’équipe</w:t>
      </w:r>
      <w:r w:rsidR="00DE42E6">
        <w:rPr>
          <w:sz w:val="26"/>
          <w:szCs w:val="26"/>
        </w:rPr>
        <w:t xml:space="preserve"> de plaidoyer</w:t>
      </w:r>
      <w:r w:rsidR="00404439">
        <w:rPr>
          <w:sz w:val="26"/>
          <w:szCs w:val="26"/>
        </w:rPr>
        <w:t>.</w:t>
      </w:r>
      <w:r w:rsidR="00466113">
        <w:rPr>
          <w:sz w:val="26"/>
          <w:szCs w:val="26"/>
        </w:rPr>
        <w:t xml:space="preserve"> </w:t>
      </w:r>
      <w:r w:rsidRPr="00466113">
        <w:rPr>
          <w:sz w:val="26"/>
          <w:szCs w:val="26"/>
        </w:rPr>
        <w:t>L</w:t>
      </w:r>
      <w:r w:rsidR="00D90628" w:rsidRPr="00466113">
        <w:rPr>
          <w:sz w:val="26"/>
          <w:szCs w:val="26"/>
        </w:rPr>
        <w:t>a consultation se déroulera entièrement à distance</w:t>
      </w:r>
      <w:r w:rsidR="00466113">
        <w:rPr>
          <w:sz w:val="26"/>
          <w:szCs w:val="26"/>
        </w:rPr>
        <w:t xml:space="preserve">. </w:t>
      </w:r>
      <w:r w:rsidR="00466113" w:rsidRPr="00466113">
        <w:rPr>
          <w:sz w:val="26"/>
          <w:szCs w:val="26"/>
        </w:rPr>
        <w:t xml:space="preserve">Le consultant doit disposer de son propre matériel nécessaire </w:t>
      </w:r>
      <w:r w:rsidR="00466113">
        <w:rPr>
          <w:sz w:val="26"/>
          <w:szCs w:val="26"/>
        </w:rPr>
        <w:t>pour le travail</w:t>
      </w:r>
      <w:r w:rsidR="00466113" w:rsidRPr="00466113">
        <w:rPr>
          <w:sz w:val="26"/>
          <w:szCs w:val="26"/>
        </w:rPr>
        <w:t xml:space="preserve"> (ordinateur, téléphone, etc.).</w:t>
      </w:r>
    </w:p>
    <w:p w14:paraId="67C3167B" w14:textId="7A646334" w:rsidR="00B813B1" w:rsidRPr="00D90628" w:rsidRDefault="00B813B1" w:rsidP="00B813B1">
      <w:pPr>
        <w:pStyle w:val="Paragraphedeliste"/>
        <w:numPr>
          <w:ilvl w:val="0"/>
          <w:numId w:val="4"/>
        </w:numPr>
        <w:spacing w:after="0" w:line="240" w:lineRule="auto"/>
        <w:ind w:left="284" w:hanging="284"/>
        <w:jc w:val="both"/>
        <w:rPr>
          <w:sz w:val="28"/>
        </w:rPr>
      </w:pPr>
      <w:r w:rsidRPr="00D90628">
        <w:rPr>
          <w:sz w:val="26"/>
          <w:szCs w:val="26"/>
        </w:rPr>
        <w:t xml:space="preserve">La tâche s’étalera sur </w:t>
      </w:r>
      <w:r w:rsidR="001B781D">
        <w:rPr>
          <w:b/>
          <w:sz w:val="26"/>
          <w:szCs w:val="26"/>
        </w:rPr>
        <w:t>4</w:t>
      </w:r>
      <w:r w:rsidRPr="00D90628">
        <w:rPr>
          <w:b/>
          <w:sz w:val="26"/>
          <w:szCs w:val="26"/>
        </w:rPr>
        <w:t>5 jours</w:t>
      </w:r>
      <w:r w:rsidRPr="00D90628">
        <w:rPr>
          <w:sz w:val="26"/>
          <w:szCs w:val="26"/>
        </w:rPr>
        <w:t xml:space="preserve"> </w:t>
      </w:r>
      <w:r w:rsidR="00404439">
        <w:rPr>
          <w:sz w:val="26"/>
          <w:szCs w:val="26"/>
        </w:rPr>
        <w:t xml:space="preserve">ouvrés </w:t>
      </w:r>
      <w:r w:rsidRPr="00D90628">
        <w:rPr>
          <w:sz w:val="26"/>
          <w:szCs w:val="26"/>
        </w:rPr>
        <w:t>de travail</w:t>
      </w:r>
    </w:p>
    <w:p w14:paraId="42425C8D" w14:textId="77777777" w:rsidR="00466113" w:rsidRDefault="00466113" w:rsidP="00466113">
      <w:pPr>
        <w:pStyle w:val="Paragraphedeliste"/>
        <w:spacing w:after="0" w:line="240" w:lineRule="auto"/>
        <w:ind w:left="284"/>
        <w:jc w:val="both"/>
        <w:rPr>
          <w:sz w:val="28"/>
        </w:rPr>
      </w:pPr>
    </w:p>
    <w:p w14:paraId="06E56E55" w14:textId="77777777" w:rsidR="00B813B1" w:rsidRPr="007379BD" w:rsidRDefault="00B813B1" w:rsidP="00B813B1">
      <w:pPr>
        <w:pStyle w:val="Paragraphedeliste"/>
        <w:numPr>
          <w:ilvl w:val="0"/>
          <w:numId w:val="1"/>
        </w:numPr>
        <w:rPr>
          <w:b/>
          <w:sz w:val="28"/>
          <w:szCs w:val="18"/>
          <w:u w:val="single"/>
        </w:rPr>
      </w:pPr>
      <w:r w:rsidRPr="007379BD">
        <w:rPr>
          <w:b/>
          <w:sz w:val="28"/>
          <w:szCs w:val="18"/>
          <w:u w:val="single"/>
        </w:rPr>
        <w:t>Les rapports</w:t>
      </w:r>
      <w:r w:rsidR="00144400" w:rsidRPr="007379BD">
        <w:rPr>
          <w:b/>
          <w:sz w:val="28"/>
          <w:szCs w:val="18"/>
          <w:u w:val="single"/>
        </w:rPr>
        <w:t>/documents</w:t>
      </w:r>
      <w:r w:rsidRPr="007379BD">
        <w:rPr>
          <w:b/>
          <w:sz w:val="28"/>
          <w:szCs w:val="18"/>
          <w:u w:val="single"/>
        </w:rPr>
        <w:t xml:space="preserve"> à fournir</w:t>
      </w:r>
    </w:p>
    <w:p w14:paraId="2AC675F1" w14:textId="77777777" w:rsidR="00B813B1" w:rsidRPr="007379BD" w:rsidRDefault="00B813B1" w:rsidP="00B813B1">
      <w:pPr>
        <w:pStyle w:val="Paragraphedeliste"/>
        <w:numPr>
          <w:ilvl w:val="0"/>
          <w:numId w:val="4"/>
        </w:numPr>
        <w:spacing w:after="0" w:line="240" w:lineRule="auto"/>
        <w:jc w:val="both"/>
        <w:rPr>
          <w:sz w:val="26"/>
          <w:szCs w:val="26"/>
        </w:rPr>
      </w:pPr>
      <w:r w:rsidRPr="007379BD">
        <w:rPr>
          <w:sz w:val="26"/>
          <w:szCs w:val="26"/>
        </w:rPr>
        <w:t>Le consultant devra présenter durant la première semaine</w:t>
      </w:r>
      <w:r w:rsidR="00144400" w:rsidRPr="007379BD">
        <w:rPr>
          <w:sz w:val="26"/>
          <w:szCs w:val="26"/>
        </w:rPr>
        <w:t xml:space="preserve">, après la rencontre de cadrage, </w:t>
      </w:r>
      <w:r w:rsidR="00144400" w:rsidRPr="007379BD">
        <w:rPr>
          <w:b/>
          <w:bCs/>
          <w:sz w:val="26"/>
          <w:szCs w:val="26"/>
        </w:rPr>
        <w:t>un draft de sa démarche stratégique,</w:t>
      </w:r>
      <w:r w:rsidR="00144400" w:rsidRPr="007379BD">
        <w:rPr>
          <w:sz w:val="26"/>
          <w:szCs w:val="26"/>
        </w:rPr>
        <w:t xml:space="preserve"> </w:t>
      </w:r>
      <w:r w:rsidR="00144400" w:rsidRPr="007379BD">
        <w:rPr>
          <w:b/>
          <w:bCs/>
          <w:sz w:val="26"/>
          <w:szCs w:val="26"/>
        </w:rPr>
        <w:t xml:space="preserve">son plan de travail et sa </w:t>
      </w:r>
      <w:r w:rsidRPr="007379BD">
        <w:rPr>
          <w:b/>
          <w:bCs/>
          <w:sz w:val="26"/>
          <w:szCs w:val="26"/>
        </w:rPr>
        <w:t xml:space="preserve">méthodologie </w:t>
      </w:r>
      <w:r w:rsidR="00144400" w:rsidRPr="007379BD">
        <w:rPr>
          <w:b/>
          <w:bCs/>
          <w:sz w:val="26"/>
          <w:szCs w:val="26"/>
        </w:rPr>
        <w:t>pour aboutir aux résultats de la consultation</w:t>
      </w:r>
      <w:r w:rsidR="00144400" w:rsidRPr="007379BD">
        <w:rPr>
          <w:sz w:val="26"/>
          <w:szCs w:val="26"/>
        </w:rPr>
        <w:t xml:space="preserve">. </w:t>
      </w:r>
      <w:r w:rsidRPr="007379BD">
        <w:rPr>
          <w:sz w:val="26"/>
          <w:szCs w:val="26"/>
        </w:rPr>
        <w:t>Ce</w:t>
      </w:r>
      <w:r w:rsidR="00144400" w:rsidRPr="007379BD">
        <w:rPr>
          <w:sz w:val="26"/>
          <w:szCs w:val="26"/>
        </w:rPr>
        <w:t xml:space="preserve"> draft devrait être consigné </w:t>
      </w:r>
      <w:r w:rsidR="00144400" w:rsidRPr="007379BD">
        <w:rPr>
          <w:b/>
          <w:bCs/>
          <w:sz w:val="26"/>
          <w:szCs w:val="26"/>
          <w:u w:val="single"/>
        </w:rPr>
        <w:t>dans un document de 5 pages maximum</w:t>
      </w:r>
      <w:r w:rsidR="00144400" w:rsidRPr="007379BD">
        <w:rPr>
          <w:sz w:val="26"/>
          <w:szCs w:val="26"/>
        </w:rPr>
        <w:t xml:space="preserve"> et sera validé par le département plaidoyer d’</w:t>
      </w:r>
      <w:r w:rsidRPr="007379BD">
        <w:rPr>
          <w:sz w:val="26"/>
          <w:szCs w:val="26"/>
        </w:rPr>
        <w:t>Action contre la Faim</w:t>
      </w:r>
    </w:p>
    <w:p w14:paraId="1AA767D5" w14:textId="77777777" w:rsidR="00144400" w:rsidRPr="007379BD" w:rsidRDefault="00B813B1" w:rsidP="00B813B1">
      <w:pPr>
        <w:pStyle w:val="Paragraphedeliste"/>
        <w:numPr>
          <w:ilvl w:val="0"/>
          <w:numId w:val="4"/>
        </w:numPr>
        <w:spacing w:after="0" w:line="240" w:lineRule="auto"/>
        <w:jc w:val="both"/>
        <w:rPr>
          <w:sz w:val="26"/>
          <w:szCs w:val="26"/>
        </w:rPr>
      </w:pPr>
      <w:r w:rsidRPr="007379BD">
        <w:rPr>
          <w:sz w:val="26"/>
          <w:szCs w:val="26"/>
        </w:rPr>
        <w:t xml:space="preserve">Un </w:t>
      </w:r>
      <w:r w:rsidR="00144400" w:rsidRPr="007379BD">
        <w:rPr>
          <w:b/>
          <w:sz w:val="26"/>
          <w:szCs w:val="26"/>
          <w:u w:val="single"/>
        </w:rPr>
        <w:t>document de 15</w:t>
      </w:r>
      <w:r w:rsidRPr="007379BD">
        <w:rPr>
          <w:b/>
          <w:sz w:val="26"/>
          <w:szCs w:val="26"/>
          <w:u w:val="single"/>
        </w:rPr>
        <w:t xml:space="preserve"> pages maximum</w:t>
      </w:r>
      <w:r w:rsidRPr="007379BD">
        <w:rPr>
          <w:sz w:val="26"/>
          <w:szCs w:val="26"/>
        </w:rPr>
        <w:t xml:space="preserve"> (</w:t>
      </w:r>
      <w:r w:rsidR="00144400" w:rsidRPr="007379BD">
        <w:rPr>
          <w:sz w:val="26"/>
          <w:szCs w:val="26"/>
        </w:rPr>
        <w:t>a</w:t>
      </w:r>
      <w:r w:rsidRPr="007379BD">
        <w:rPr>
          <w:sz w:val="26"/>
          <w:szCs w:val="26"/>
        </w:rPr>
        <w:t xml:space="preserve">nnexes </w:t>
      </w:r>
      <w:r w:rsidR="00144400" w:rsidRPr="007379BD">
        <w:rPr>
          <w:sz w:val="26"/>
          <w:szCs w:val="26"/>
        </w:rPr>
        <w:t>inc</w:t>
      </w:r>
      <w:r w:rsidRPr="007379BD">
        <w:rPr>
          <w:sz w:val="26"/>
          <w:szCs w:val="26"/>
        </w:rPr>
        <w:t xml:space="preserve">lues) </w:t>
      </w:r>
      <w:r w:rsidR="00144400" w:rsidRPr="007379BD">
        <w:rPr>
          <w:sz w:val="26"/>
          <w:szCs w:val="26"/>
        </w:rPr>
        <w:t xml:space="preserve">exposant la stratégie proposée pour la campagne de communication/plaidoyer, décrivant clairement les outils/supports proposés pour la campagne, les messages, slogans, </w:t>
      </w:r>
      <w:r w:rsidR="007379BD" w:rsidRPr="007379BD">
        <w:rPr>
          <w:sz w:val="26"/>
          <w:szCs w:val="26"/>
        </w:rPr>
        <w:t>les partenaires susceptibles de soutenir la campagne</w:t>
      </w:r>
    </w:p>
    <w:p w14:paraId="23472295" w14:textId="77777777" w:rsidR="00144400" w:rsidRPr="007379BD" w:rsidRDefault="00144400" w:rsidP="00144400">
      <w:pPr>
        <w:pStyle w:val="Paragraphedeliste"/>
        <w:numPr>
          <w:ilvl w:val="0"/>
          <w:numId w:val="4"/>
        </w:numPr>
        <w:spacing w:after="0" w:line="240" w:lineRule="auto"/>
        <w:jc w:val="both"/>
        <w:rPr>
          <w:sz w:val="26"/>
          <w:szCs w:val="26"/>
        </w:rPr>
      </w:pPr>
      <w:r w:rsidRPr="007379BD">
        <w:rPr>
          <w:sz w:val="26"/>
          <w:szCs w:val="26"/>
        </w:rPr>
        <w:t xml:space="preserve">Un document </w:t>
      </w:r>
      <w:r w:rsidRPr="007379BD">
        <w:rPr>
          <w:b/>
          <w:sz w:val="26"/>
          <w:szCs w:val="26"/>
          <w:u w:val="single"/>
        </w:rPr>
        <w:t xml:space="preserve">de </w:t>
      </w:r>
      <w:r w:rsidR="00D90628">
        <w:rPr>
          <w:b/>
          <w:sz w:val="26"/>
          <w:szCs w:val="26"/>
          <w:u w:val="single"/>
        </w:rPr>
        <w:t>5</w:t>
      </w:r>
      <w:r w:rsidRPr="007379BD">
        <w:rPr>
          <w:b/>
          <w:sz w:val="26"/>
          <w:szCs w:val="26"/>
          <w:u w:val="single"/>
        </w:rPr>
        <w:t xml:space="preserve"> pages maximum</w:t>
      </w:r>
      <w:r w:rsidRPr="007379BD">
        <w:rPr>
          <w:sz w:val="26"/>
          <w:szCs w:val="26"/>
        </w:rPr>
        <w:t xml:space="preserve"> contenant le plan opérationnel </w:t>
      </w:r>
      <w:r w:rsidR="007379BD" w:rsidRPr="007379BD">
        <w:rPr>
          <w:sz w:val="26"/>
          <w:szCs w:val="26"/>
        </w:rPr>
        <w:t>de la</w:t>
      </w:r>
      <w:r w:rsidRPr="007379BD">
        <w:rPr>
          <w:sz w:val="26"/>
          <w:szCs w:val="26"/>
        </w:rPr>
        <w:t xml:space="preserve"> campagne prenant </w:t>
      </w:r>
      <w:r w:rsidR="007379BD" w:rsidRPr="007379BD">
        <w:rPr>
          <w:sz w:val="26"/>
          <w:szCs w:val="26"/>
        </w:rPr>
        <w:t>en compte, les</w:t>
      </w:r>
      <w:r w:rsidRPr="007379BD">
        <w:rPr>
          <w:sz w:val="26"/>
          <w:szCs w:val="26"/>
        </w:rPr>
        <w:t xml:space="preserve"> activités préparatoires avant le lancement de la campagne, pendant la campagne et après la période intense de campagne ; ainsi qu’un budget adapté et un mécanisme de suivi évaluation claire </w:t>
      </w:r>
    </w:p>
    <w:p w14:paraId="7B067D8D" w14:textId="77777777" w:rsidR="00D90628" w:rsidRPr="007379BD" w:rsidRDefault="00D90628" w:rsidP="00D90628">
      <w:pPr>
        <w:pStyle w:val="Paragraphedeliste"/>
        <w:numPr>
          <w:ilvl w:val="0"/>
          <w:numId w:val="4"/>
        </w:numPr>
        <w:spacing w:after="0" w:line="240" w:lineRule="auto"/>
        <w:jc w:val="both"/>
        <w:rPr>
          <w:sz w:val="26"/>
          <w:szCs w:val="26"/>
        </w:rPr>
      </w:pPr>
      <w:r w:rsidRPr="007379BD">
        <w:rPr>
          <w:sz w:val="26"/>
          <w:szCs w:val="26"/>
        </w:rPr>
        <w:t xml:space="preserve">Une </w:t>
      </w:r>
      <w:r w:rsidRPr="007379BD">
        <w:rPr>
          <w:b/>
          <w:sz w:val="26"/>
          <w:szCs w:val="26"/>
          <w:u w:val="single"/>
        </w:rPr>
        <w:t xml:space="preserve">présentation PowerPoint </w:t>
      </w:r>
      <w:r w:rsidRPr="007379BD">
        <w:rPr>
          <w:sz w:val="26"/>
          <w:szCs w:val="26"/>
        </w:rPr>
        <w:t xml:space="preserve">devra être présentée à l’équipe d’Action Contre la Faim à la fin de la mission. Elle se concentrera sur les principaux éléments de la campagne </w:t>
      </w:r>
    </w:p>
    <w:p w14:paraId="430B78BE" w14:textId="366C3537" w:rsidR="00B813B1" w:rsidRDefault="00B813B1" w:rsidP="00B813B1">
      <w:pPr>
        <w:spacing w:after="0" w:line="240" w:lineRule="auto"/>
        <w:jc w:val="both"/>
        <w:rPr>
          <w:sz w:val="28"/>
        </w:rPr>
      </w:pPr>
    </w:p>
    <w:p w14:paraId="70425EF6" w14:textId="77777777" w:rsidR="00404439" w:rsidRDefault="00404439" w:rsidP="00B813B1">
      <w:pPr>
        <w:spacing w:after="0" w:line="240" w:lineRule="auto"/>
        <w:jc w:val="both"/>
        <w:rPr>
          <w:sz w:val="28"/>
        </w:rPr>
      </w:pPr>
    </w:p>
    <w:p w14:paraId="2A23E7DE" w14:textId="77777777" w:rsidR="00B813B1" w:rsidRPr="007379BD" w:rsidRDefault="00B813B1" w:rsidP="00B813B1">
      <w:pPr>
        <w:pStyle w:val="Paragraphedeliste"/>
        <w:numPr>
          <w:ilvl w:val="0"/>
          <w:numId w:val="1"/>
        </w:numPr>
        <w:rPr>
          <w:b/>
          <w:sz w:val="28"/>
          <w:szCs w:val="18"/>
          <w:u w:val="single"/>
        </w:rPr>
      </w:pPr>
      <w:r w:rsidRPr="007379BD">
        <w:rPr>
          <w:b/>
          <w:sz w:val="28"/>
          <w:szCs w:val="18"/>
          <w:u w:val="single"/>
        </w:rPr>
        <w:lastRenderedPageBreak/>
        <w:t xml:space="preserve">Candidature </w:t>
      </w:r>
    </w:p>
    <w:p w14:paraId="3E82F721" w14:textId="3ED065AD" w:rsidR="00AD6F7A" w:rsidRPr="00466113" w:rsidRDefault="00B813B1" w:rsidP="00466113">
      <w:pPr>
        <w:spacing w:after="0" w:line="240" w:lineRule="auto"/>
        <w:jc w:val="both"/>
        <w:rPr>
          <w:sz w:val="26"/>
          <w:szCs w:val="26"/>
        </w:rPr>
      </w:pPr>
      <w:r w:rsidRPr="007379BD">
        <w:rPr>
          <w:sz w:val="26"/>
          <w:szCs w:val="26"/>
        </w:rPr>
        <w:t>Si vous êtes intéressé(e) par cette offre</w:t>
      </w:r>
      <w:r w:rsidR="007379BD" w:rsidRPr="007379BD">
        <w:rPr>
          <w:sz w:val="26"/>
          <w:szCs w:val="26"/>
        </w:rPr>
        <w:t xml:space="preserve"> de consultance,</w:t>
      </w:r>
      <w:r w:rsidRPr="007379BD">
        <w:rPr>
          <w:sz w:val="26"/>
          <w:szCs w:val="26"/>
        </w:rPr>
        <w:t xml:space="preserve"> merci de nous envoyer sous plis fermés, vos CV, lettre de notification d’intérêt, les références similaires, </w:t>
      </w:r>
      <w:r w:rsidR="007379BD" w:rsidRPr="007379BD">
        <w:rPr>
          <w:sz w:val="26"/>
          <w:szCs w:val="26"/>
        </w:rPr>
        <w:t>offre</w:t>
      </w:r>
      <w:r w:rsidRPr="007379BD">
        <w:rPr>
          <w:sz w:val="26"/>
          <w:szCs w:val="26"/>
        </w:rPr>
        <w:t xml:space="preserve"> technique et financière, adressés au Représentant Régional d’action contre la Faim au plus tard le </w:t>
      </w:r>
      <w:r w:rsidR="00C35679" w:rsidRPr="00C35679">
        <w:rPr>
          <w:b/>
          <w:sz w:val="26"/>
          <w:szCs w:val="26"/>
        </w:rPr>
        <w:t>05 Février</w:t>
      </w:r>
      <w:r w:rsidRPr="00C35679">
        <w:rPr>
          <w:b/>
          <w:sz w:val="26"/>
          <w:szCs w:val="26"/>
        </w:rPr>
        <w:t xml:space="preserve"> 202</w:t>
      </w:r>
      <w:r w:rsidR="00DA6721" w:rsidRPr="00C35679">
        <w:rPr>
          <w:b/>
          <w:sz w:val="26"/>
          <w:szCs w:val="26"/>
        </w:rPr>
        <w:t>1</w:t>
      </w:r>
      <w:r w:rsidRPr="00C35679">
        <w:rPr>
          <w:b/>
          <w:sz w:val="26"/>
          <w:szCs w:val="26"/>
        </w:rPr>
        <w:t xml:space="preserve"> à 17H00. </w:t>
      </w:r>
      <w:r w:rsidRPr="00C35679">
        <w:rPr>
          <w:sz w:val="26"/>
          <w:szCs w:val="26"/>
        </w:rPr>
        <w:t>Il</w:t>
      </w:r>
      <w:r w:rsidRPr="007379BD">
        <w:rPr>
          <w:sz w:val="26"/>
          <w:szCs w:val="26"/>
        </w:rPr>
        <w:t xml:space="preserve"> est possible de les envoyer par mail aux adresses suivantes :</w:t>
      </w:r>
      <w:r w:rsidRPr="007379BD">
        <w:rPr>
          <w:b/>
          <w:sz w:val="26"/>
          <w:szCs w:val="26"/>
        </w:rPr>
        <w:t xml:space="preserve"> </w:t>
      </w:r>
      <w:r w:rsidR="00466113">
        <w:t xml:space="preserve"> </w:t>
      </w:r>
      <w:r w:rsidR="00466113" w:rsidRPr="00466113">
        <w:rPr>
          <w:b/>
          <w:bCs/>
          <w:sz w:val="26"/>
          <w:szCs w:val="26"/>
        </w:rPr>
        <w:t>waro@wa.acfspain.org</w:t>
      </w:r>
      <w:r w:rsidR="00466113">
        <w:t xml:space="preserve">   </w:t>
      </w:r>
      <w:r w:rsidRPr="007379BD">
        <w:rPr>
          <w:sz w:val="26"/>
          <w:szCs w:val="26"/>
        </w:rPr>
        <w:t>avec une mention claire dans le titre du mail : « </w:t>
      </w:r>
      <w:r w:rsidRPr="007379BD">
        <w:rPr>
          <w:b/>
          <w:sz w:val="26"/>
          <w:szCs w:val="26"/>
        </w:rPr>
        <w:t xml:space="preserve">Offre candidature </w:t>
      </w:r>
      <w:r w:rsidR="007379BD" w:rsidRPr="007379BD">
        <w:rPr>
          <w:b/>
          <w:sz w:val="26"/>
          <w:szCs w:val="26"/>
        </w:rPr>
        <w:t>consultance campagne de plaidoyer et communication</w:t>
      </w:r>
      <w:r w:rsidRPr="007379BD">
        <w:rPr>
          <w:b/>
          <w:sz w:val="26"/>
          <w:szCs w:val="26"/>
        </w:rPr>
        <w:t xml:space="preserve"> </w:t>
      </w:r>
      <w:r w:rsidR="00E273C8">
        <w:rPr>
          <w:b/>
          <w:sz w:val="26"/>
          <w:szCs w:val="26"/>
        </w:rPr>
        <w:t xml:space="preserve">santé / </w:t>
      </w:r>
      <w:r w:rsidRPr="007379BD">
        <w:rPr>
          <w:b/>
          <w:sz w:val="26"/>
          <w:szCs w:val="26"/>
        </w:rPr>
        <w:t>nutrition »</w:t>
      </w:r>
      <w:r w:rsidRPr="000C3528">
        <w:rPr>
          <w:b/>
          <w:sz w:val="26"/>
          <w:szCs w:val="26"/>
        </w:rPr>
        <w:t xml:space="preserve"> </w:t>
      </w:r>
    </w:p>
    <w:sectPr w:rsidR="00AD6F7A" w:rsidRPr="00466113">
      <w:footerReference w:type="default" r:id="rId9"/>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B6C74" w14:textId="77777777" w:rsidR="003354B2" w:rsidRDefault="003354B2">
      <w:pPr>
        <w:spacing w:after="0" w:line="240" w:lineRule="auto"/>
      </w:pPr>
      <w:r>
        <w:separator/>
      </w:r>
    </w:p>
  </w:endnote>
  <w:endnote w:type="continuationSeparator" w:id="0">
    <w:p w14:paraId="0F102E67" w14:textId="77777777" w:rsidR="003354B2" w:rsidRDefault="0033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BA67" w14:textId="77777777" w:rsidR="005A3F37" w:rsidRPr="00C8366C" w:rsidRDefault="005A3F37">
    <w:pPr>
      <w:pStyle w:val="Pieddepage"/>
      <w:jc w:val="center"/>
      <w:rPr>
        <w:caps/>
        <w:color w:val="5B9BD5"/>
      </w:rPr>
    </w:pPr>
    <w:r w:rsidRPr="00C8366C">
      <w:rPr>
        <w:caps/>
        <w:color w:val="5B9BD5"/>
      </w:rPr>
      <w:fldChar w:fldCharType="begin"/>
    </w:r>
    <w:r w:rsidRPr="00C8366C">
      <w:rPr>
        <w:caps/>
        <w:color w:val="5B9BD5"/>
      </w:rPr>
      <w:instrText>PAGE   \* MERGEFORMAT</w:instrText>
    </w:r>
    <w:r w:rsidRPr="00C8366C">
      <w:rPr>
        <w:caps/>
        <w:color w:val="5B9BD5"/>
      </w:rPr>
      <w:fldChar w:fldCharType="separate"/>
    </w:r>
    <w:r w:rsidR="00727D83">
      <w:rPr>
        <w:caps/>
        <w:noProof/>
        <w:color w:val="5B9BD5"/>
      </w:rPr>
      <w:t>5</w:t>
    </w:r>
    <w:r w:rsidRPr="00C8366C">
      <w:rPr>
        <w:caps/>
        <w:color w:val="5B9BD5"/>
      </w:rPr>
      <w:fldChar w:fldCharType="end"/>
    </w:r>
  </w:p>
  <w:p w14:paraId="5824BA4A" w14:textId="77777777" w:rsidR="005A3F37" w:rsidRDefault="005A3F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8512" w14:textId="77777777" w:rsidR="003354B2" w:rsidRDefault="003354B2">
      <w:pPr>
        <w:spacing w:after="0" w:line="240" w:lineRule="auto"/>
      </w:pPr>
      <w:r>
        <w:separator/>
      </w:r>
    </w:p>
  </w:footnote>
  <w:footnote w:type="continuationSeparator" w:id="0">
    <w:p w14:paraId="523C574B" w14:textId="77777777" w:rsidR="003354B2" w:rsidRDefault="00335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14AE"/>
    <w:multiLevelType w:val="multilevel"/>
    <w:tmpl w:val="352C4C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1C95F67"/>
    <w:multiLevelType w:val="hybridMultilevel"/>
    <w:tmpl w:val="57246E5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2AF5317A"/>
    <w:multiLevelType w:val="multilevel"/>
    <w:tmpl w:val="B5EE0B06"/>
    <w:lvl w:ilvl="0">
      <w:numFmt w:val="bullet"/>
      <w:lvlText w:val="-"/>
      <w:lvlJc w:val="left"/>
      <w:pPr>
        <w:ind w:left="360" w:hanging="360"/>
      </w:pPr>
      <w:rPr>
        <w:rFonts w:ascii="Calibri" w:eastAsia="Calibri" w:hAnsi="Calibri" w:cs="Times New Roman"/>
        <w:b/>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0D7D58"/>
    <w:multiLevelType w:val="multilevel"/>
    <w:tmpl w:val="DABE6E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4C671F"/>
    <w:multiLevelType w:val="multilevel"/>
    <w:tmpl w:val="C9BE0A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7A"/>
    <w:rsid w:val="00044663"/>
    <w:rsid w:val="00050CCE"/>
    <w:rsid w:val="00106B9C"/>
    <w:rsid w:val="00144400"/>
    <w:rsid w:val="001B781D"/>
    <w:rsid w:val="001D5753"/>
    <w:rsid w:val="002A5AD3"/>
    <w:rsid w:val="002E173E"/>
    <w:rsid w:val="002E7951"/>
    <w:rsid w:val="003354B2"/>
    <w:rsid w:val="00341218"/>
    <w:rsid w:val="00404439"/>
    <w:rsid w:val="00466113"/>
    <w:rsid w:val="0048207A"/>
    <w:rsid w:val="005340B1"/>
    <w:rsid w:val="005744D6"/>
    <w:rsid w:val="005A3F37"/>
    <w:rsid w:val="005F454C"/>
    <w:rsid w:val="0067288D"/>
    <w:rsid w:val="006B61AC"/>
    <w:rsid w:val="006E3D51"/>
    <w:rsid w:val="00722A3A"/>
    <w:rsid w:val="00727D83"/>
    <w:rsid w:val="007379BD"/>
    <w:rsid w:val="007472BE"/>
    <w:rsid w:val="00853C70"/>
    <w:rsid w:val="008568F4"/>
    <w:rsid w:val="00881216"/>
    <w:rsid w:val="008C17F0"/>
    <w:rsid w:val="009D5FC0"/>
    <w:rsid w:val="00A81921"/>
    <w:rsid w:val="00AB2B7C"/>
    <w:rsid w:val="00AD6F7A"/>
    <w:rsid w:val="00B14D89"/>
    <w:rsid w:val="00B813B1"/>
    <w:rsid w:val="00BA3B4F"/>
    <w:rsid w:val="00BF0078"/>
    <w:rsid w:val="00C35679"/>
    <w:rsid w:val="00D101F8"/>
    <w:rsid w:val="00D642B1"/>
    <w:rsid w:val="00D90628"/>
    <w:rsid w:val="00D92339"/>
    <w:rsid w:val="00DA6721"/>
    <w:rsid w:val="00DC277E"/>
    <w:rsid w:val="00DE42E6"/>
    <w:rsid w:val="00E22813"/>
    <w:rsid w:val="00E273C8"/>
    <w:rsid w:val="00E82C5A"/>
    <w:rsid w:val="00F40FB7"/>
    <w:rsid w:val="00F82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1B84"/>
  <w15:chartTrackingRefBased/>
  <w15:docId w15:val="{775791D8-DDEB-4C91-9742-D0166A0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13B1"/>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rsid w:val="00B813B1"/>
    <w:pPr>
      <w:suppressAutoHyphens/>
      <w:autoSpaceDN w:val="0"/>
      <w:spacing w:after="80" w:line="264" w:lineRule="auto"/>
      <w:jc w:val="center"/>
      <w:textAlignment w:val="baseline"/>
    </w:pPr>
    <w:rPr>
      <w:rFonts w:ascii="Lucida Sans" w:eastAsia="Times New Roman" w:hAnsi="Lucida Sans" w:cs="Times New Roman"/>
      <w:color w:val="000000"/>
      <w:kern w:val="3"/>
      <w:sz w:val="32"/>
      <w:szCs w:val="32"/>
      <w:lang w:eastAsia="fr-FR"/>
    </w:rPr>
  </w:style>
  <w:style w:type="character" w:customStyle="1" w:styleId="CorpsdetexteCar">
    <w:name w:val="Corps de texte Car"/>
    <w:basedOn w:val="Policepardfaut"/>
    <w:link w:val="Corpsdetexte"/>
    <w:rsid w:val="00B813B1"/>
    <w:rPr>
      <w:rFonts w:ascii="Lucida Sans" w:eastAsia="Times New Roman" w:hAnsi="Lucida Sans" w:cs="Times New Roman"/>
      <w:color w:val="000000"/>
      <w:kern w:val="3"/>
      <w:sz w:val="32"/>
      <w:szCs w:val="32"/>
      <w:lang w:eastAsia="fr-FR"/>
    </w:rPr>
  </w:style>
  <w:style w:type="paragraph" w:styleId="Paragraphedeliste">
    <w:name w:val="List Paragraph"/>
    <w:basedOn w:val="Normal"/>
    <w:rsid w:val="00B813B1"/>
    <w:pPr>
      <w:ind w:left="720"/>
    </w:pPr>
  </w:style>
  <w:style w:type="paragraph" w:styleId="Pieddepage">
    <w:name w:val="footer"/>
    <w:basedOn w:val="Normal"/>
    <w:link w:val="PieddepageCar"/>
    <w:uiPriority w:val="99"/>
    <w:rsid w:val="00B813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13B1"/>
    <w:rPr>
      <w:rFonts w:ascii="Calibri" w:eastAsia="Calibri" w:hAnsi="Calibri" w:cs="Times New Roman"/>
    </w:rPr>
  </w:style>
  <w:style w:type="character" w:styleId="Lienhypertexte">
    <w:name w:val="Hyperlink"/>
    <w:uiPriority w:val="99"/>
    <w:unhideWhenUsed/>
    <w:rsid w:val="00B813B1"/>
    <w:rPr>
      <w:color w:val="0000FF"/>
      <w:u w:val="single"/>
    </w:rPr>
  </w:style>
  <w:style w:type="paragraph" w:customStyle="1" w:styleId="Default">
    <w:name w:val="Default"/>
    <w:rsid w:val="00B813B1"/>
    <w:pPr>
      <w:autoSpaceDE w:val="0"/>
      <w:autoSpaceDN w:val="0"/>
      <w:adjustRightInd w:val="0"/>
      <w:spacing w:after="0" w:line="240" w:lineRule="auto"/>
    </w:pPr>
    <w:rPr>
      <w:rFonts w:ascii="Calibri" w:eastAsia="Calibri" w:hAnsi="Calibri" w:cs="Calibri"/>
      <w:color w:val="000000"/>
      <w:sz w:val="24"/>
      <w:szCs w:val="24"/>
    </w:rPr>
  </w:style>
  <w:style w:type="paragraph" w:styleId="Textedebulles">
    <w:name w:val="Balloon Text"/>
    <w:basedOn w:val="Normal"/>
    <w:link w:val="TextedebullesCar"/>
    <w:uiPriority w:val="99"/>
    <w:semiHidden/>
    <w:unhideWhenUsed/>
    <w:rsid w:val="00106B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6B9C"/>
    <w:rPr>
      <w:rFonts w:ascii="Segoe UI" w:eastAsia="Calibri" w:hAnsi="Segoe UI" w:cs="Segoe UI"/>
      <w:sz w:val="18"/>
      <w:szCs w:val="18"/>
    </w:rPr>
  </w:style>
  <w:style w:type="character" w:customStyle="1" w:styleId="Mencinsinresolver1">
    <w:name w:val="Mención sin resolver1"/>
    <w:basedOn w:val="Policepardfaut"/>
    <w:uiPriority w:val="99"/>
    <w:semiHidden/>
    <w:unhideWhenUsed/>
    <w:rsid w:val="00737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1616</Words>
  <Characters>8888</Characters>
  <Application>Microsoft Office Word</Application>
  <DocSecurity>0</DocSecurity>
  <Lines>74</Lines>
  <Paragraphs>20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Kabore</dc:creator>
  <cp:keywords/>
  <dc:description/>
  <cp:lastModifiedBy>LOG MANAGER ROWCA</cp:lastModifiedBy>
  <cp:revision>3</cp:revision>
  <dcterms:created xsi:type="dcterms:W3CDTF">2021-01-19T12:17:00Z</dcterms:created>
  <dcterms:modified xsi:type="dcterms:W3CDTF">2021-01-19T12:18:00Z</dcterms:modified>
</cp:coreProperties>
</file>